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8"/>
        <w:gridCol w:w="5148"/>
      </w:tblGrid>
      <w:tr w:rsidR="004A7A4F" w:rsidTr="00E5593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A7A4F" w:rsidRDefault="005072C7" w:rsidP="00B43F8D">
            <w:pPr>
              <w:keepNext/>
              <w:autoSpaceDE w:val="0"/>
              <w:autoSpaceDN w:val="0"/>
              <w:adjustRightInd w:val="0"/>
              <w:ind w:left="108"/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  <w:noProof/>
              </w:rPr>
              <w:drawing>
                <wp:inline distT="0" distB="0" distL="0" distR="0" wp14:anchorId="3B996420" wp14:editId="06A2E9A8">
                  <wp:extent cx="2609850" cy="733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A7A4F" w:rsidRDefault="004A7A4F" w:rsidP="00B43F8D">
            <w:pPr>
              <w:autoSpaceDE w:val="0"/>
              <w:autoSpaceDN w:val="0"/>
              <w:adjustRightInd w:val="0"/>
              <w:ind w:left="108" w:right="108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4A7A4F" w:rsidRPr="00F73F3C" w:rsidRDefault="004A7A4F" w:rsidP="00B43F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F73F3C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NEWS RELEASE</w:t>
            </w:r>
            <w:r w:rsidRPr="00F73F3C">
              <w:rPr>
                <w:color w:val="000000"/>
                <w:sz w:val="26"/>
                <w:szCs w:val="26"/>
              </w:rPr>
              <w:t xml:space="preserve">                                                           </w:t>
            </w:r>
          </w:p>
        </w:tc>
      </w:tr>
    </w:tbl>
    <w:p w:rsidR="004A7A4F" w:rsidRDefault="004A7A4F" w:rsidP="00B43F8D">
      <w:pPr>
        <w:rPr>
          <w:rFonts w:ascii="Arial" w:hAnsi="Arial" w:cs="Arial"/>
          <w:b/>
          <w:sz w:val="20"/>
          <w:szCs w:val="20"/>
        </w:rPr>
      </w:pPr>
    </w:p>
    <w:p w:rsidR="004A7A4F" w:rsidRDefault="005072C7" w:rsidP="00B43F8D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11A0952" wp14:editId="7EE46567">
                <wp:simplePos x="0" y="0"/>
                <wp:positionH relativeFrom="column">
                  <wp:posOffset>-407670</wp:posOffset>
                </wp:positionH>
                <wp:positionV relativeFrom="paragraph">
                  <wp:posOffset>92074</wp:posOffset>
                </wp:positionV>
                <wp:extent cx="7115175" cy="0"/>
                <wp:effectExtent l="0" t="0" r="95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2.1pt;margin-top:7.25pt;width:560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vI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"/>
            </w:pict>
          </mc:Fallback>
        </mc:AlternateContent>
      </w:r>
    </w:p>
    <w:p w:rsidR="004A7A4F" w:rsidRDefault="004A7A4F" w:rsidP="00B43F8D">
      <w:pPr>
        <w:rPr>
          <w:rFonts w:ascii="Arial" w:hAnsi="Arial" w:cs="Arial"/>
          <w:b/>
          <w:sz w:val="20"/>
          <w:szCs w:val="20"/>
        </w:rPr>
      </w:pPr>
    </w:p>
    <w:p w:rsidR="004A7A4F" w:rsidRDefault="002C66DC" w:rsidP="00B43F8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World Bank Group </w:t>
      </w:r>
      <w:r w:rsidR="00352200">
        <w:rPr>
          <w:rFonts w:ascii="Arial" w:hAnsi="Arial" w:cs="Arial"/>
          <w:b/>
          <w:color w:val="000000"/>
          <w:sz w:val="32"/>
          <w:szCs w:val="32"/>
        </w:rPr>
        <w:t xml:space="preserve">Scales Up </w:t>
      </w:r>
      <w:r w:rsidR="004B427A">
        <w:rPr>
          <w:rFonts w:ascii="Arial" w:hAnsi="Arial" w:cs="Arial"/>
          <w:b/>
          <w:color w:val="000000"/>
          <w:sz w:val="32"/>
          <w:szCs w:val="32"/>
        </w:rPr>
        <w:t xml:space="preserve">Support for </w:t>
      </w:r>
      <w:r w:rsidR="00FB7B25">
        <w:rPr>
          <w:rFonts w:ascii="Arial" w:hAnsi="Arial" w:cs="Arial"/>
          <w:b/>
          <w:color w:val="000000"/>
          <w:sz w:val="32"/>
          <w:szCs w:val="32"/>
        </w:rPr>
        <w:t xml:space="preserve">Global </w:t>
      </w:r>
      <w:r w:rsidR="004B427A">
        <w:rPr>
          <w:rFonts w:ascii="Arial" w:hAnsi="Arial" w:cs="Arial"/>
          <w:b/>
          <w:color w:val="000000"/>
          <w:sz w:val="32"/>
          <w:szCs w:val="32"/>
        </w:rPr>
        <w:t>Nutrition</w:t>
      </w:r>
      <w:r w:rsidR="00FB7B2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4B427A">
        <w:rPr>
          <w:rFonts w:ascii="Arial" w:hAnsi="Arial" w:cs="Arial"/>
          <w:b/>
          <w:color w:val="000000"/>
          <w:sz w:val="32"/>
          <w:szCs w:val="32"/>
        </w:rPr>
        <w:t xml:space="preserve">Programs </w:t>
      </w:r>
      <w:r w:rsidR="00FB7B25">
        <w:rPr>
          <w:rFonts w:ascii="Arial" w:hAnsi="Arial" w:cs="Arial"/>
          <w:b/>
          <w:color w:val="000000"/>
          <w:sz w:val="32"/>
          <w:szCs w:val="32"/>
        </w:rPr>
        <w:t>in Response to</w:t>
      </w:r>
      <w:r w:rsidR="005E5ACF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C3975">
        <w:rPr>
          <w:rFonts w:ascii="Arial" w:hAnsi="Arial" w:cs="Arial"/>
          <w:b/>
          <w:color w:val="000000"/>
          <w:sz w:val="32"/>
          <w:szCs w:val="32"/>
        </w:rPr>
        <w:t>Stunting Crisis</w:t>
      </w:r>
      <w:r w:rsidR="00FB7B25">
        <w:rPr>
          <w:rFonts w:ascii="Arial" w:hAnsi="Arial" w:cs="Arial"/>
          <w:b/>
          <w:color w:val="000000"/>
          <w:sz w:val="32"/>
          <w:szCs w:val="32"/>
        </w:rPr>
        <w:t>, Food Price Volatility</w:t>
      </w:r>
    </w:p>
    <w:p w:rsidR="004A7A4F" w:rsidRDefault="004A7A4F" w:rsidP="00B43F8D">
      <w:pPr>
        <w:autoSpaceDE w:val="0"/>
        <w:autoSpaceDN w:val="0"/>
        <w:adjustRightInd w:val="0"/>
        <w:ind w:left="108"/>
        <w:jc w:val="center"/>
        <w:rPr>
          <w:rFonts w:ascii="Arial" w:hAnsi="Arial" w:cs="Arial"/>
          <w:i/>
          <w:iCs/>
          <w:color w:val="000000"/>
        </w:rPr>
      </w:pPr>
    </w:p>
    <w:p w:rsidR="004B427A" w:rsidRPr="005E5ACF" w:rsidRDefault="004B427A" w:rsidP="00B43F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WASHINGTON</w:t>
      </w:r>
      <w:r w:rsidR="004A7A4F" w:rsidRPr="00D16F3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JUNE 6</w:t>
      </w:r>
      <w:r w:rsidR="004A7A4F" w:rsidRPr="00D16F3D">
        <w:rPr>
          <w:rFonts w:ascii="Arial" w:hAnsi="Arial" w:cs="Arial"/>
          <w:b/>
          <w:sz w:val="20"/>
          <w:szCs w:val="20"/>
        </w:rPr>
        <w:t xml:space="preserve">, </w:t>
      </w:r>
      <w:r w:rsidR="004A7A4F">
        <w:rPr>
          <w:rFonts w:ascii="Arial" w:hAnsi="Arial" w:cs="Arial"/>
          <w:b/>
          <w:sz w:val="20"/>
          <w:szCs w:val="20"/>
        </w:rPr>
        <w:t>2013</w:t>
      </w:r>
      <w:r w:rsidR="004A7A4F" w:rsidRPr="00D16F3D">
        <w:rPr>
          <w:rFonts w:ascii="Arial" w:hAnsi="Arial" w:cs="Arial"/>
          <w:b/>
          <w:sz w:val="20"/>
          <w:szCs w:val="20"/>
        </w:rPr>
        <w:t xml:space="preserve"> </w:t>
      </w:r>
      <w:r w:rsidR="004A7A4F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5E5ACF">
        <w:rPr>
          <w:rFonts w:ascii="Arial" w:hAnsi="Arial" w:cs="Arial"/>
          <w:sz w:val="20"/>
          <w:szCs w:val="20"/>
        </w:rPr>
        <w:t>he World Bank Group projects</w:t>
      </w:r>
      <w:r w:rsidR="00BD734A" w:rsidRPr="00BD734A">
        <w:rPr>
          <w:rFonts w:ascii="Arial" w:hAnsi="Arial" w:cs="Arial"/>
          <w:sz w:val="20"/>
          <w:szCs w:val="20"/>
        </w:rPr>
        <w:t xml:space="preserve"> that it will nearly triple </w:t>
      </w:r>
      <w:r w:rsidR="005E5ACF">
        <w:rPr>
          <w:rFonts w:ascii="Arial" w:hAnsi="Arial" w:cs="Arial"/>
          <w:sz w:val="20"/>
          <w:szCs w:val="20"/>
        </w:rPr>
        <w:t xml:space="preserve">direct </w:t>
      </w:r>
      <w:r w:rsidR="00EE4048">
        <w:rPr>
          <w:rFonts w:ascii="Arial" w:hAnsi="Arial" w:cs="Arial"/>
          <w:sz w:val="20"/>
          <w:szCs w:val="20"/>
        </w:rPr>
        <w:t>financing</w:t>
      </w:r>
      <w:r w:rsidRPr="005E5ACF">
        <w:rPr>
          <w:rFonts w:ascii="Arial" w:hAnsi="Arial" w:cs="Arial"/>
          <w:sz w:val="20"/>
          <w:szCs w:val="20"/>
        </w:rPr>
        <w:t xml:space="preserve"> for </w:t>
      </w:r>
      <w:r w:rsidR="005E5ACF">
        <w:rPr>
          <w:rFonts w:ascii="Arial" w:hAnsi="Arial" w:cs="Arial"/>
          <w:sz w:val="20"/>
          <w:szCs w:val="20"/>
        </w:rPr>
        <w:t xml:space="preserve">maternal and early childhood nutrition </w:t>
      </w:r>
      <w:r w:rsidRPr="005E5ACF">
        <w:rPr>
          <w:rFonts w:ascii="Arial" w:hAnsi="Arial" w:cs="Arial"/>
          <w:sz w:val="20"/>
          <w:szCs w:val="20"/>
        </w:rPr>
        <w:t xml:space="preserve">programs </w:t>
      </w:r>
      <w:r>
        <w:rPr>
          <w:rFonts w:ascii="Arial" w:hAnsi="Arial" w:cs="Arial"/>
          <w:sz w:val="20"/>
          <w:szCs w:val="20"/>
        </w:rPr>
        <w:t xml:space="preserve">in developing countries in </w:t>
      </w:r>
      <w:r w:rsidRPr="005E5ACF">
        <w:rPr>
          <w:rFonts w:ascii="Arial" w:hAnsi="Arial" w:cs="Arial"/>
          <w:sz w:val="20"/>
          <w:szCs w:val="20"/>
        </w:rPr>
        <w:t>2013-14</w:t>
      </w:r>
      <w:r>
        <w:rPr>
          <w:rFonts w:ascii="Arial" w:hAnsi="Arial" w:cs="Arial"/>
          <w:sz w:val="20"/>
          <w:szCs w:val="20"/>
        </w:rPr>
        <w:t xml:space="preserve"> to $600 million</w:t>
      </w:r>
      <w:r w:rsidRPr="005E5ACF">
        <w:rPr>
          <w:rFonts w:ascii="Arial" w:hAnsi="Arial" w:cs="Arial"/>
          <w:sz w:val="20"/>
          <w:szCs w:val="20"/>
        </w:rPr>
        <w:t>, up from $230 million in 2011-12.</w:t>
      </w:r>
      <w:r>
        <w:rPr>
          <w:rFonts w:ascii="Arial" w:hAnsi="Arial" w:cs="Arial"/>
          <w:sz w:val="20"/>
          <w:szCs w:val="20"/>
        </w:rPr>
        <w:t xml:space="preserve"> </w:t>
      </w:r>
      <w:r w:rsidR="00EE4048">
        <w:rPr>
          <w:rFonts w:ascii="Arial" w:hAnsi="Arial" w:cs="Arial"/>
          <w:sz w:val="20"/>
          <w:szCs w:val="20"/>
        </w:rPr>
        <w:t>An estimated 90</w:t>
      </w:r>
      <w:r>
        <w:rPr>
          <w:rFonts w:ascii="Arial" w:hAnsi="Arial" w:cs="Arial"/>
          <w:sz w:val="20"/>
          <w:szCs w:val="20"/>
        </w:rPr>
        <w:t xml:space="preserve"> percent of this </w:t>
      </w:r>
      <w:r w:rsidR="00EE4048">
        <w:rPr>
          <w:rFonts w:ascii="Arial" w:hAnsi="Arial" w:cs="Arial"/>
          <w:sz w:val="20"/>
          <w:szCs w:val="20"/>
        </w:rPr>
        <w:t>new funding</w:t>
      </w:r>
      <w:r>
        <w:rPr>
          <w:rFonts w:ascii="Arial" w:hAnsi="Arial" w:cs="Arial"/>
          <w:sz w:val="20"/>
          <w:szCs w:val="20"/>
        </w:rPr>
        <w:t xml:space="preserve"> ($540 million) </w:t>
      </w:r>
      <w:r w:rsidR="00BD734A">
        <w:rPr>
          <w:rFonts w:ascii="Arial" w:hAnsi="Arial" w:cs="Arial"/>
          <w:sz w:val="20"/>
          <w:szCs w:val="20"/>
        </w:rPr>
        <w:t>will come</w:t>
      </w:r>
      <w:r>
        <w:rPr>
          <w:rFonts w:ascii="Arial" w:hAnsi="Arial" w:cs="Arial"/>
          <w:sz w:val="20"/>
          <w:szCs w:val="20"/>
        </w:rPr>
        <w:t xml:space="preserve"> from the </w:t>
      </w:r>
      <w:hyperlink r:id="rId10" w:history="1">
        <w:r w:rsidRPr="00B43F8D">
          <w:rPr>
            <w:rStyle w:val="Hyperlink"/>
            <w:rFonts w:ascii="Arial" w:hAnsi="Arial" w:cs="Arial"/>
            <w:sz w:val="20"/>
            <w:szCs w:val="20"/>
          </w:rPr>
          <w:t>International Development Association</w:t>
        </w:r>
      </w:hyperlink>
      <w:r>
        <w:rPr>
          <w:rFonts w:ascii="Arial" w:hAnsi="Arial" w:cs="Arial"/>
          <w:sz w:val="20"/>
          <w:szCs w:val="20"/>
        </w:rPr>
        <w:t xml:space="preserve"> (IDA), the Bank’s fund for the poorest countries.</w:t>
      </w:r>
      <w:r w:rsidR="00BD734A">
        <w:rPr>
          <w:rFonts w:ascii="Arial" w:hAnsi="Arial" w:cs="Arial"/>
          <w:sz w:val="20"/>
          <w:szCs w:val="20"/>
        </w:rPr>
        <w:t xml:space="preserve"> The announcement comes </w:t>
      </w:r>
      <w:r w:rsidR="00FD2D6E">
        <w:rPr>
          <w:rFonts w:ascii="Arial" w:hAnsi="Arial" w:cs="Arial"/>
          <w:sz w:val="20"/>
          <w:szCs w:val="20"/>
        </w:rPr>
        <w:t>in the lead</w:t>
      </w:r>
      <w:r w:rsidR="00B43F8D">
        <w:rPr>
          <w:rFonts w:ascii="Arial" w:hAnsi="Arial" w:cs="Arial"/>
          <w:sz w:val="20"/>
          <w:szCs w:val="20"/>
        </w:rPr>
        <w:t>-</w:t>
      </w:r>
      <w:r w:rsidR="00FD2D6E">
        <w:rPr>
          <w:rFonts w:ascii="Arial" w:hAnsi="Arial" w:cs="Arial"/>
          <w:sz w:val="20"/>
          <w:szCs w:val="20"/>
        </w:rPr>
        <w:t xml:space="preserve">up to </w:t>
      </w:r>
      <w:r w:rsidR="00BD734A">
        <w:rPr>
          <w:rFonts w:ascii="Arial" w:hAnsi="Arial" w:cs="Arial"/>
          <w:sz w:val="20"/>
          <w:szCs w:val="20"/>
        </w:rPr>
        <w:t>the Nutrition for Growth High-Level Event on June 8 in London</w:t>
      </w:r>
      <w:bookmarkStart w:id="0" w:name="_GoBack"/>
      <w:bookmarkEnd w:id="0"/>
      <w:r w:rsidR="00BD734A">
        <w:rPr>
          <w:rFonts w:ascii="Arial" w:hAnsi="Arial" w:cs="Arial"/>
          <w:sz w:val="20"/>
          <w:szCs w:val="20"/>
        </w:rPr>
        <w:t xml:space="preserve"> </w:t>
      </w:r>
      <w:r w:rsidR="00B43F8D">
        <w:rPr>
          <w:rFonts w:ascii="Arial" w:hAnsi="Arial" w:cs="Arial"/>
          <w:sz w:val="20"/>
          <w:szCs w:val="20"/>
        </w:rPr>
        <w:t xml:space="preserve">and </w:t>
      </w:r>
      <w:r w:rsidR="00FD2D6E">
        <w:rPr>
          <w:rFonts w:ascii="Arial" w:hAnsi="Arial" w:cs="Arial"/>
          <w:sz w:val="20"/>
          <w:szCs w:val="20"/>
        </w:rPr>
        <w:t xml:space="preserve">ahead of </w:t>
      </w:r>
      <w:r w:rsidR="00BD734A">
        <w:rPr>
          <w:rFonts w:ascii="Arial" w:hAnsi="Arial" w:cs="Arial"/>
          <w:sz w:val="20"/>
          <w:szCs w:val="20"/>
        </w:rPr>
        <w:t>the G-8</w:t>
      </w:r>
      <w:r w:rsidR="006C3975">
        <w:rPr>
          <w:rFonts w:ascii="Arial" w:hAnsi="Arial" w:cs="Arial"/>
          <w:sz w:val="20"/>
          <w:szCs w:val="20"/>
        </w:rPr>
        <w:t xml:space="preserve"> Summit in Lough Erne, Northern Ireland</w:t>
      </w:r>
      <w:r w:rsidR="00B43F8D">
        <w:rPr>
          <w:rFonts w:ascii="Arial" w:hAnsi="Arial" w:cs="Arial"/>
          <w:sz w:val="20"/>
          <w:szCs w:val="20"/>
        </w:rPr>
        <w:t>,</w:t>
      </w:r>
      <w:r w:rsidR="006C3975">
        <w:rPr>
          <w:rFonts w:ascii="Arial" w:hAnsi="Arial" w:cs="Arial"/>
          <w:sz w:val="20"/>
          <w:szCs w:val="20"/>
        </w:rPr>
        <w:t xml:space="preserve"> in late June.</w:t>
      </w:r>
    </w:p>
    <w:p w:rsidR="005E5ACF" w:rsidRDefault="004B427A" w:rsidP="00B43F8D">
      <w:pPr>
        <w:rPr>
          <w:rFonts w:ascii="Arial" w:hAnsi="Arial" w:cs="Arial"/>
          <w:sz w:val="20"/>
          <w:szCs w:val="20"/>
        </w:rPr>
      </w:pPr>
      <w:r w:rsidRPr="005E5ACF">
        <w:rPr>
          <w:rFonts w:ascii="Arial" w:hAnsi="Arial" w:cs="Arial"/>
          <w:sz w:val="20"/>
          <w:szCs w:val="20"/>
        </w:rPr>
        <w:t xml:space="preserve"> </w:t>
      </w:r>
    </w:p>
    <w:p w:rsidR="004A7A4F" w:rsidRDefault="005072C7" w:rsidP="00B43F8D">
      <w:pPr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“</w:t>
      </w:r>
      <w:r w:rsidR="00C12A4D">
        <w:rPr>
          <w:rFonts w:ascii="Helv" w:hAnsi="Helv" w:cs="Helv"/>
          <w:i/>
          <w:color w:val="000000"/>
          <w:sz w:val="20"/>
          <w:szCs w:val="20"/>
        </w:rPr>
        <w:t>Globally, 165 million children under age 5 are</w:t>
      </w:r>
      <w:r w:rsidR="006C3975">
        <w:rPr>
          <w:rFonts w:ascii="Helv" w:hAnsi="Helv" w:cs="Helv"/>
          <w:i/>
          <w:color w:val="000000"/>
          <w:sz w:val="20"/>
          <w:szCs w:val="20"/>
        </w:rPr>
        <w:t xml:space="preserve"> stunt</w:t>
      </w:r>
      <w:r w:rsidR="008F01CC">
        <w:rPr>
          <w:rFonts w:ascii="Helv" w:hAnsi="Helv" w:cs="Helv"/>
          <w:i/>
          <w:color w:val="000000"/>
          <w:sz w:val="20"/>
          <w:szCs w:val="20"/>
        </w:rPr>
        <w:t>ed as a result of malnutrition</w:t>
      </w:r>
      <w:r w:rsidR="00767743">
        <w:rPr>
          <w:rFonts w:ascii="Helv" w:hAnsi="Helv" w:cs="Helv"/>
          <w:i/>
          <w:color w:val="000000"/>
          <w:sz w:val="20"/>
          <w:szCs w:val="20"/>
        </w:rPr>
        <w:t>. This is the</w:t>
      </w:r>
      <w:r w:rsidR="00C12A4D">
        <w:rPr>
          <w:rFonts w:ascii="Helv" w:hAnsi="Helv" w:cs="Helv"/>
          <w:i/>
          <w:color w:val="000000"/>
          <w:sz w:val="20"/>
          <w:szCs w:val="20"/>
        </w:rPr>
        <w:t xml:space="preserve"> </w:t>
      </w:r>
      <w:r w:rsidR="006C3975">
        <w:rPr>
          <w:rFonts w:ascii="Helv" w:hAnsi="Helv" w:cs="Helv"/>
          <w:i/>
          <w:color w:val="000000"/>
          <w:sz w:val="20"/>
          <w:szCs w:val="20"/>
        </w:rPr>
        <w:t>face of povert</w:t>
      </w:r>
      <w:r w:rsidR="008F01CC">
        <w:rPr>
          <w:rFonts w:ascii="Helv" w:hAnsi="Helv" w:cs="Helv"/>
          <w:i/>
          <w:color w:val="000000"/>
          <w:sz w:val="20"/>
          <w:szCs w:val="20"/>
        </w:rPr>
        <w:t>y,</w:t>
      </w:r>
      <w:r w:rsidR="008D168B" w:rsidRPr="005E5ACF">
        <w:rPr>
          <w:rFonts w:ascii="Helv" w:hAnsi="Helv" w:cs="Helv"/>
          <w:i/>
          <w:color w:val="000000"/>
          <w:sz w:val="20"/>
          <w:szCs w:val="20"/>
        </w:rPr>
        <w:t>”</w:t>
      </w:r>
      <w:r w:rsidR="008D168B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 xml:space="preserve">said </w:t>
      </w:r>
      <w:r>
        <w:rPr>
          <w:rFonts w:ascii="Helv" w:hAnsi="Helv" w:cs="Helv"/>
          <w:b/>
          <w:bCs/>
          <w:color w:val="000000"/>
          <w:sz w:val="20"/>
          <w:szCs w:val="20"/>
        </w:rPr>
        <w:t>Jim Yong Kim, President of the World Bank Group</w:t>
      </w:r>
      <w:r>
        <w:rPr>
          <w:rFonts w:ascii="Helv" w:hAnsi="Helv" w:cs="Helv"/>
          <w:color w:val="000000"/>
          <w:sz w:val="20"/>
          <w:szCs w:val="20"/>
        </w:rPr>
        <w:t xml:space="preserve">. </w:t>
      </w:r>
      <w:r w:rsidR="006C3975">
        <w:rPr>
          <w:rFonts w:ascii="Helv" w:hAnsi="Helv" w:cs="Helv"/>
          <w:i/>
          <w:iCs/>
          <w:color w:val="000000"/>
          <w:sz w:val="20"/>
          <w:szCs w:val="20"/>
        </w:rPr>
        <w:t>“</w:t>
      </w:r>
      <w:r w:rsidR="0085300B">
        <w:rPr>
          <w:rFonts w:ascii="Helv" w:hAnsi="Helv" w:cs="Helv"/>
          <w:i/>
          <w:iCs/>
          <w:color w:val="000000"/>
          <w:sz w:val="20"/>
          <w:szCs w:val="20"/>
        </w:rPr>
        <w:t xml:space="preserve">The </w:t>
      </w:r>
      <w:r w:rsidR="00BD734A">
        <w:rPr>
          <w:rFonts w:ascii="Helv" w:hAnsi="Helv" w:cs="Helv"/>
          <w:i/>
          <w:iCs/>
          <w:color w:val="000000"/>
          <w:sz w:val="20"/>
          <w:szCs w:val="20"/>
        </w:rPr>
        <w:t xml:space="preserve">UK government </w:t>
      </w:r>
      <w:r w:rsidR="008F01CC">
        <w:rPr>
          <w:rFonts w:ascii="Helv" w:hAnsi="Helv" w:cs="Helv"/>
          <w:i/>
          <w:iCs/>
          <w:color w:val="000000"/>
          <w:sz w:val="20"/>
          <w:szCs w:val="20"/>
        </w:rPr>
        <w:t>should be ap</w:t>
      </w:r>
      <w:r w:rsidR="00EE4048">
        <w:rPr>
          <w:rFonts w:ascii="Helv" w:hAnsi="Helv" w:cs="Helv"/>
          <w:i/>
          <w:iCs/>
          <w:color w:val="000000"/>
          <w:sz w:val="20"/>
          <w:szCs w:val="20"/>
        </w:rPr>
        <w:t>plauded for</w:t>
      </w:r>
      <w:r w:rsidR="00BD734A">
        <w:rPr>
          <w:rFonts w:ascii="Helv" w:hAnsi="Helv" w:cs="Helv"/>
          <w:i/>
          <w:iCs/>
          <w:color w:val="000000"/>
          <w:sz w:val="20"/>
          <w:szCs w:val="20"/>
        </w:rPr>
        <w:t xml:space="preserve"> its leadership</w:t>
      </w:r>
      <w:r w:rsidR="008F01CC">
        <w:rPr>
          <w:rFonts w:ascii="Helv" w:hAnsi="Helv" w:cs="Helv"/>
          <w:i/>
          <w:iCs/>
          <w:color w:val="000000"/>
          <w:sz w:val="20"/>
          <w:szCs w:val="20"/>
        </w:rPr>
        <w:t xml:space="preserve"> to scale</w:t>
      </w:r>
      <w:r w:rsidR="006C3975">
        <w:rPr>
          <w:rFonts w:ascii="Helv" w:hAnsi="Helv" w:cs="Helv"/>
          <w:i/>
          <w:iCs/>
          <w:color w:val="000000"/>
          <w:sz w:val="20"/>
          <w:szCs w:val="20"/>
        </w:rPr>
        <w:t xml:space="preserve"> up </w:t>
      </w:r>
      <w:r w:rsidR="008F01CC">
        <w:rPr>
          <w:rFonts w:ascii="Helv" w:hAnsi="Helv" w:cs="Helv"/>
          <w:i/>
          <w:iCs/>
          <w:color w:val="000000"/>
          <w:sz w:val="20"/>
          <w:szCs w:val="20"/>
        </w:rPr>
        <w:t xml:space="preserve">global </w:t>
      </w:r>
      <w:r w:rsidR="006C3975">
        <w:rPr>
          <w:rFonts w:ascii="Helv" w:hAnsi="Helv" w:cs="Helv"/>
          <w:i/>
          <w:iCs/>
          <w:color w:val="000000"/>
          <w:sz w:val="20"/>
          <w:szCs w:val="20"/>
        </w:rPr>
        <w:t xml:space="preserve">investments </w:t>
      </w:r>
      <w:r w:rsidR="006C3975">
        <w:rPr>
          <w:rFonts w:ascii="Helv" w:hAnsi="Helv" w:cs="Helv"/>
          <w:i/>
          <w:color w:val="000000"/>
          <w:sz w:val="20"/>
          <w:szCs w:val="20"/>
        </w:rPr>
        <w:t xml:space="preserve">in maternal and </w:t>
      </w:r>
      <w:r w:rsidR="00EE4048">
        <w:rPr>
          <w:rFonts w:ascii="Helv" w:hAnsi="Helv" w:cs="Helv"/>
          <w:i/>
          <w:color w:val="000000"/>
          <w:sz w:val="20"/>
          <w:szCs w:val="20"/>
        </w:rPr>
        <w:t>early childhood nutrition</w:t>
      </w:r>
      <w:r w:rsidR="00B43F8D">
        <w:rPr>
          <w:rFonts w:ascii="Helv" w:hAnsi="Helv" w:cs="Helv"/>
          <w:i/>
          <w:color w:val="000000"/>
          <w:sz w:val="20"/>
          <w:szCs w:val="20"/>
        </w:rPr>
        <w:t>—</w:t>
      </w:r>
      <w:r w:rsidR="006C3975" w:rsidRPr="003D6AB6">
        <w:rPr>
          <w:rFonts w:ascii="Helv" w:hAnsi="Helv" w:cs="Helv"/>
          <w:i/>
          <w:color w:val="000000"/>
          <w:sz w:val="20"/>
          <w:szCs w:val="20"/>
        </w:rPr>
        <w:t xml:space="preserve">one of the </w:t>
      </w:r>
      <w:r w:rsidR="008F01CC">
        <w:rPr>
          <w:rFonts w:ascii="Helv" w:hAnsi="Helv" w:cs="Helv"/>
          <w:i/>
          <w:color w:val="000000"/>
          <w:sz w:val="20"/>
          <w:szCs w:val="20"/>
        </w:rPr>
        <w:t>highest-return investments we can make to end poverty and promote shared prosperity</w:t>
      </w:r>
      <w:r w:rsidR="006C3975">
        <w:rPr>
          <w:rFonts w:ascii="Helv" w:hAnsi="Helv" w:cs="Helv"/>
          <w:i/>
          <w:color w:val="000000"/>
          <w:sz w:val="20"/>
          <w:szCs w:val="20"/>
        </w:rPr>
        <w:t>.</w:t>
      </w:r>
      <w:r>
        <w:rPr>
          <w:rFonts w:ascii="Helv" w:hAnsi="Helv" w:cs="Helv"/>
          <w:i/>
          <w:iCs/>
          <w:color w:val="000000"/>
          <w:sz w:val="20"/>
          <w:szCs w:val="20"/>
        </w:rPr>
        <w:t>”</w:t>
      </w:r>
    </w:p>
    <w:p w:rsidR="00FB7B25" w:rsidRDefault="00FB7B25" w:rsidP="00B43F8D">
      <w:pPr>
        <w:rPr>
          <w:rFonts w:ascii="Helv" w:hAnsi="Helv" w:cs="Helv"/>
          <w:i/>
          <w:iCs/>
          <w:color w:val="000000"/>
          <w:sz w:val="20"/>
          <w:szCs w:val="20"/>
        </w:rPr>
      </w:pPr>
    </w:p>
    <w:p w:rsidR="0094039C" w:rsidRDefault="00FB7B25" w:rsidP="00B43F8D">
      <w:pPr>
        <w:rPr>
          <w:rFonts w:ascii="Arial" w:hAnsi="Arial" w:cs="Arial"/>
          <w:sz w:val="20"/>
          <w:szCs w:val="20"/>
        </w:rPr>
      </w:pPr>
      <w:r w:rsidRPr="005F2350">
        <w:rPr>
          <w:rFonts w:ascii="Arial" w:hAnsi="Arial" w:cs="Arial"/>
          <w:sz w:val="20"/>
          <w:szCs w:val="20"/>
        </w:rPr>
        <w:t xml:space="preserve">The projected increase is in addition to nutrition-sensitive investments the </w:t>
      </w:r>
      <w:r w:rsidR="00B43F8D">
        <w:rPr>
          <w:rFonts w:ascii="Arial" w:hAnsi="Arial" w:cs="Arial"/>
          <w:sz w:val="20"/>
          <w:szCs w:val="20"/>
        </w:rPr>
        <w:t>Bank Group</w:t>
      </w:r>
      <w:r w:rsidRPr="005F2350">
        <w:rPr>
          <w:rFonts w:ascii="Arial" w:hAnsi="Arial" w:cs="Arial"/>
          <w:sz w:val="20"/>
          <w:szCs w:val="20"/>
        </w:rPr>
        <w:t xml:space="preserve"> is making in other sectors beyond health, such as agriculture, education, social protection, an</w:t>
      </w:r>
      <w:r w:rsidRPr="0094039C">
        <w:rPr>
          <w:rFonts w:ascii="Arial" w:hAnsi="Arial" w:cs="Arial"/>
          <w:sz w:val="20"/>
          <w:szCs w:val="20"/>
        </w:rPr>
        <w:t xml:space="preserve">d water and sanitation. </w:t>
      </w:r>
    </w:p>
    <w:p w:rsidR="0094039C" w:rsidRDefault="0094039C" w:rsidP="00B43F8D">
      <w:pPr>
        <w:rPr>
          <w:rFonts w:ascii="Arial" w:hAnsi="Arial" w:cs="Arial"/>
          <w:sz w:val="20"/>
          <w:szCs w:val="20"/>
        </w:rPr>
      </w:pPr>
    </w:p>
    <w:p w:rsidR="00FB7B25" w:rsidRPr="0094039C" w:rsidRDefault="00FB7B25" w:rsidP="00B43F8D">
      <w:pPr>
        <w:rPr>
          <w:rFonts w:ascii="Arial" w:hAnsi="Arial" w:cs="Arial"/>
          <w:sz w:val="20"/>
          <w:szCs w:val="20"/>
        </w:rPr>
      </w:pPr>
      <w:r w:rsidRPr="0094039C">
        <w:rPr>
          <w:rFonts w:ascii="Arial" w:hAnsi="Arial" w:cs="Arial"/>
          <w:sz w:val="20"/>
          <w:szCs w:val="20"/>
        </w:rPr>
        <w:t xml:space="preserve">Amid continuing global food price volatility, the Bank Group also announced that it will </w:t>
      </w:r>
      <w:r w:rsidR="004B0EAB">
        <w:rPr>
          <w:rFonts w:ascii="Arial" w:hAnsi="Arial" w:cs="Arial"/>
          <w:sz w:val="20"/>
          <w:szCs w:val="20"/>
        </w:rPr>
        <w:t xml:space="preserve">review </w:t>
      </w:r>
      <w:r w:rsidRPr="0094039C">
        <w:rPr>
          <w:rFonts w:ascii="Arial" w:hAnsi="Arial" w:cs="Arial"/>
          <w:sz w:val="20"/>
          <w:szCs w:val="20"/>
        </w:rPr>
        <w:t xml:space="preserve">agriculture </w:t>
      </w:r>
      <w:r w:rsidR="004B0EAB">
        <w:rPr>
          <w:rFonts w:ascii="Arial" w:hAnsi="Arial" w:cs="Arial"/>
          <w:sz w:val="20"/>
          <w:szCs w:val="20"/>
        </w:rPr>
        <w:t xml:space="preserve">activities with a view toward </w:t>
      </w:r>
      <w:r w:rsidRPr="0094039C">
        <w:rPr>
          <w:rFonts w:ascii="Arial" w:hAnsi="Arial" w:cs="Arial"/>
          <w:sz w:val="20"/>
          <w:szCs w:val="20"/>
        </w:rPr>
        <w:t>improv</w:t>
      </w:r>
      <w:r w:rsidR="004B0EAB">
        <w:rPr>
          <w:rFonts w:ascii="Arial" w:hAnsi="Arial" w:cs="Arial"/>
          <w:sz w:val="20"/>
          <w:szCs w:val="20"/>
        </w:rPr>
        <w:t>ing</w:t>
      </w:r>
      <w:r w:rsidRPr="0094039C">
        <w:rPr>
          <w:rFonts w:ascii="Arial" w:hAnsi="Arial" w:cs="Arial"/>
          <w:sz w:val="20"/>
          <w:szCs w:val="20"/>
        </w:rPr>
        <w:t xml:space="preserve"> nutrition outcomes</w:t>
      </w:r>
      <w:r w:rsidR="0094039C">
        <w:rPr>
          <w:rFonts w:ascii="Arial" w:hAnsi="Arial" w:cs="Arial"/>
          <w:sz w:val="20"/>
          <w:szCs w:val="20"/>
        </w:rPr>
        <w:t xml:space="preserve">, </w:t>
      </w:r>
      <w:r w:rsidR="004B0EAB">
        <w:rPr>
          <w:rFonts w:ascii="Arial" w:hAnsi="Arial" w:cs="Arial"/>
          <w:sz w:val="20"/>
          <w:szCs w:val="20"/>
        </w:rPr>
        <w:t xml:space="preserve">and </w:t>
      </w:r>
      <w:r w:rsidR="0094039C">
        <w:rPr>
          <w:rFonts w:ascii="Arial" w:hAnsi="Arial" w:cs="Arial"/>
          <w:sz w:val="20"/>
          <w:szCs w:val="20"/>
        </w:rPr>
        <w:t>not</w:t>
      </w:r>
      <w:r w:rsidR="004B0EAB">
        <w:rPr>
          <w:rFonts w:ascii="Arial" w:hAnsi="Arial" w:cs="Arial"/>
          <w:sz w:val="20"/>
          <w:szCs w:val="20"/>
        </w:rPr>
        <w:t>ed</w:t>
      </w:r>
      <w:r w:rsidR="0094039C">
        <w:rPr>
          <w:rFonts w:ascii="Arial" w:hAnsi="Arial" w:cs="Arial"/>
          <w:sz w:val="20"/>
          <w:szCs w:val="20"/>
        </w:rPr>
        <w:t xml:space="preserve"> excellent</w:t>
      </w:r>
      <w:r w:rsidR="005F2350" w:rsidRPr="00167A5C">
        <w:rPr>
          <w:rFonts w:ascii="Arial" w:hAnsi="Arial" w:cs="Arial"/>
          <w:sz w:val="20"/>
          <w:szCs w:val="20"/>
        </w:rPr>
        <w:t xml:space="preserve"> progress through the Global Agriculture and Food Security Program (GAFSP), where more than half of all GAFSP projects explicitly address </w:t>
      </w:r>
      <w:proofErr w:type="spellStart"/>
      <w:r w:rsidR="005F2350" w:rsidRPr="00167A5C">
        <w:rPr>
          <w:rFonts w:ascii="Arial" w:hAnsi="Arial" w:cs="Arial"/>
          <w:sz w:val="20"/>
          <w:szCs w:val="20"/>
        </w:rPr>
        <w:t>undernutrition</w:t>
      </w:r>
      <w:proofErr w:type="spellEnd"/>
      <w:r w:rsidR="005F2350" w:rsidRPr="00167A5C">
        <w:rPr>
          <w:rFonts w:ascii="Arial" w:hAnsi="Arial" w:cs="Arial"/>
          <w:sz w:val="20"/>
          <w:szCs w:val="20"/>
        </w:rPr>
        <w:t xml:space="preserve">. </w:t>
      </w:r>
      <w:r w:rsidR="0094039C">
        <w:rPr>
          <w:rFonts w:ascii="Arial" w:hAnsi="Arial" w:cs="Arial"/>
          <w:sz w:val="20"/>
          <w:szCs w:val="20"/>
        </w:rPr>
        <w:t xml:space="preserve">The Bank Group </w:t>
      </w:r>
      <w:r w:rsidRPr="005F2350">
        <w:rPr>
          <w:rFonts w:ascii="Arial" w:hAnsi="Arial" w:cs="Arial"/>
          <w:sz w:val="20"/>
          <w:szCs w:val="20"/>
        </w:rPr>
        <w:t xml:space="preserve">will also step up technical and analytical support to </w:t>
      </w:r>
      <w:r w:rsidRPr="0094039C">
        <w:rPr>
          <w:rFonts w:ascii="Arial" w:hAnsi="Arial" w:cs="Arial"/>
          <w:sz w:val="20"/>
          <w:szCs w:val="20"/>
        </w:rPr>
        <w:t>countries with the greatest prevalence of stunting or underweight children, and add stunting as a new indicator on the Bank Group’s Corporate Scorecard.</w:t>
      </w:r>
    </w:p>
    <w:p w:rsidR="00FE66E7" w:rsidRDefault="00FE66E7" w:rsidP="00B43F8D">
      <w:pPr>
        <w:rPr>
          <w:rFonts w:ascii="Arial" w:hAnsi="Arial" w:cs="Arial"/>
          <w:sz w:val="20"/>
          <w:szCs w:val="20"/>
        </w:rPr>
      </w:pPr>
    </w:p>
    <w:p w:rsidR="00767743" w:rsidRDefault="00B43F8D" w:rsidP="00B43F8D">
      <w:pPr>
        <w:autoSpaceDE w:val="0"/>
        <w:autoSpaceDN w:val="0"/>
        <w:adjustRightInd w:val="0"/>
        <w:rPr>
          <w:rFonts w:ascii="Tms Rmn" w:hAnsi="Tms Rmn"/>
        </w:rPr>
      </w:pPr>
      <w:r>
        <w:rPr>
          <w:rFonts w:ascii="Arial" w:hAnsi="Arial" w:cs="Arial"/>
          <w:sz w:val="20"/>
          <w:szCs w:val="20"/>
        </w:rPr>
        <w:t>During</w:t>
      </w:r>
      <w:r w:rsidR="008F01CC">
        <w:rPr>
          <w:rFonts w:ascii="Arial" w:hAnsi="Arial" w:cs="Arial"/>
          <w:sz w:val="20"/>
          <w:szCs w:val="20"/>
        </w:rPr>
        <w:t xml:space="preserve"> the past decade from 2002-12, IDA helped at least 52 million vulnerable mothers and young children receive life-saving and li</w:t>
      </w:r>
      <w:r w:rsidR="00167A5C">
        <w:rPr>
          <w:rFonts w:ascii="Arial" w:hAnsi="Arial" w:cs="Arial"/>
          <w:sz w:val="20"/>
          <w:szCs w:val="20"/>
        </w:rPr>
        <w:t>f</w:t>
      </w:r>
      <w:r w:rsidR="008F01CC">
        <w:rPr>
          <w:rFonts w:ascii="Arial" w:hAnsi="Arial" w:cs="Arial"/>
          <w:sz w:val="20"/>
          <w:szCs w:val="20"/>
        </w:rPr>
        <w:t xml:space="preserve">e-changing nutrition services. </w:t>
      </w:r>
      <w:r w:rsidR="00FB7B25">
        <w:rPr>
          <w:rFonts w:ascii="Helv" w:hAnsi="Helv" w:cs="Helv"/>
          <w:color w:val="000000"/>
          <w:sz w:val="20"/>
          <w:szCs w:val="20"/>
        </w:rPr>
        <w:t xml:space="preserve">In response to the food crisis, IDA fast-tracked $836 million through the Global Food Crisis Response Program (GFRP), offering cash-for-work programs, seeds and fertilizers, </w:t>
      </w:r>
      <w:r>
        <w:rPr>
          <w:rFonts w:ascii="Helv" w:hAnsi="Helv" w:cs="Helv"/>
          <w:color w:val="000000"/>
          <w:sz w:val="20"/>
          <w:szCs w:val="20"/>
        </w:rPr>
        <w:t xml:space="preserve">and </w:t>
      </w:r>
      <w:r w:rsidR="00FB7B25">
        <w:rPr>
          <w:rFonts w:ascii="Helv" w:hAnsi="Helv" w:cs="Helv"/>
          <w:color w:val="000000"/>
          <w:sz w:val="20"/>
          <w:szCs w:val="20"/>
        </w:rPr>
        <w:t xml:space="preserve">food and other safety net support, while encouraging future resilience. </w:t>
      </w:r>
      <w:r w:rsidR="00767743">
        <w:rPr>
          <w:rFonts w:ascii="Helv" w:hAnsi="Helv" w:cs="Helv"/>
          <w:color w:val="000000"/>
          <w:sz w:val="20"/>
          <w:szCs w:val="20"/>
        </w:rPr>
        <w:t xml:space="preserve">Among the results in IDA countries: </w:t>
      </w:r>
      <w:r w:rsidR="00FB7B25">
        <w:rPr>
          <w:rFonts w:ascii="Helv" w:hAnsi="Helv" w:cs="Helv"/>
          <w:color w:val="000000"/>
          <w:sz w:val="20"/>
          <w:szCs w:val="20"/>
        </w:rPr>
        <w:t xml:space="preserve">923,000 children benefited from school feeding programs; 293,000 pregnant and lactating women received nutritional supplements and education; 696,000 children received nutritional interventions; 1.7 million people </w:t>
      </w:r>
      <w:r w:rsidR="00767743">
        <w:rPr>
          <w:rFonts w:ascii="Helv" w:hAnsi="Helv" w:cs="Helv"/>
          <w:color w:val="000000"/>
          <w:sz w:val="20"/>
          <w:szCs w:val="20"/>
        </w:rPr>
        <w:t xml:space="preserve">were </w:t>
      </w:r>
      <w:r w:rsidR="00FB7B25">
        <w:rPr>
          <w:rFonts w:ascii="Helv" w:hAnsi="Helv" w:cs="Helv"/>
          <w:color w:val="000000"/>
          <w:sz w:val="20"/>
          <w:szCs w:val="20"/>
        </w:rPr>
        <w:t>employed as part of cash or food-for-work programs; 86,000 households benefited from cash transfer programs; 244,000 people receiv</w:t>
      </w:r>
      <w:r w:rsidR="00767743">
        <w:rPr>
          <w:rFonts w:ascii="Helv" w:hAnsi="Helv" w:cs="Helv"/>
          <w:color w:val="000000"/>
          <w:sz w:val="20"/>
          <w:szCs w:val="20"/>
        </w:rPr>
        <w:t>ed</w:t>
      </w:r>
      <w:r w:rsidR="00FB7B25">
        <w:rPr>
          <w:rFonts w:ascii="Helv" w:hAnsi="Helv" w:cs="Helv"/>
          <w:color w:val="000000"/>
          <w:sz w:val="20"/>
          <w:szCs w:val="20"/>
        </w:rPr>
        <w:t xml:space="preserve"> food rations; and 8.5 million farm households received seeds and fertilizers.</w:t>
      </w:r>
      <w:r w:rsidR="00767743" w:rsidRPr="00767743">
        <w:rPr>
          <w:rFonts w:ascii="Tms Rmn" w:hAnsi="Tms Rmn"/>
        </w:rPr>
        <w:t xml:space="preserve"> </w:t>
      </w:r>
    </w:p>
    <w:p w:rsidR="00B43F8D" w:rsidRDefault="00B43F8D" w:rsidP="00B43F8D">
      <w:pPr>
        <w:rPr>
          <w:rFonts w:ascii="Arial" w:hAnsi="Arial" w:cs="Arial"/>
          <w:sz w:val="20"/>
          <w:szCs w:val="20"/>
        </w:rPr>
      </w:pPr>
    </w:p>
    <w:p w:rsidR="00954988" w:rsidRPr="00D16F3D" w:rsidRDefault="00954988" w:rsidP="00954988">
      <w:pPr>
        <w:rPr>
          <w:rFonts w:ascii="Arial" w:hAnsi="Arial" w:cs="Arial"/>
          <w:color w:val="000000"/>
          <w:sz w:val="20"/>
          <w:szCs w:val="20"/>
        </w:rPr>
      </w:pPr>
      <w:r w:rsidRPr="00D16F3D">
        <w:rPr>
          <w:rFonts w:ascii="Arial" w:hAnsi="Arial" w:cs="Arial"/>
          <w:b/>
          <w:bCs/>
          <w:color w:val="000000"/>
          <w:sz w:val="20"/>
          <w:szCs w:val="20"/>
        </w:rPr>
        <w:t>Contacts:</w:t>
      </w:r>
    </w:p>
    <w:p w:rsidR="00954988" w:rsidRPr="0096552C" w:rsidRDefault="00954988" w:rsidP="00954988">
      <w:pPr>
        <w:pStyle w:val="Heading7"/>
        <w:spacing w:before="0" w:beforeAutospacing="0" w:after="0" w:afterAutospacing="0"/>
        <w:ind w:left="1152" w:right="-72" w:hanging="1152"/>
        <w:rPr>
          <w:rFonts w:ascii="Arial" w:hAnsi="Arial" w:cs="Arial"/>
          <w:color w:val="000000"/>
          <w:sz w:val="20"/>
          <w:szCs w:val="20"/>
        </w:rPr>
      </w:pPr>
      <w:r w:rsidRPr="00D16F3D">
        <w:rPr>
          <w:rFonts w:ascii="Arial" w:hAnsi="Arial" w:cs="Arial"/>
          <w:i/>
          <w:color w:val="000000"/>
          <w:sz w:val="20"/>
          <w:szCs w:val="20"/>
        </w:rPr>
        <w:t xml:space="preserve">In </w:t>
      </w:r>
      <w:r>
        <w:rPr>
          <w:rFonts w:ascii="Arial" w:hAnsi="Arial" w:cs="Arial"/>
          <w:i/>
          <w:color w:val="000000"/>
          <w:sz w:val="20"/>
          <w:szCs w:val="20"/>
        </w:rPr>
        <w:t>Washington: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Melanie Mayhew, +1 (202) 459-7115, </w:t>
      </w:r>
      <w:hyperlink r:id="rId11" w:history="1">
        <w:r w:rsidRPr="00B4456C">
          <w:rPr>
            <w:rStyle w:val="Hyperlink"/>
            <w:rFonts w:ascii="Arial" w:hAnsi="Arial" w:cs="Arial"/>
            <w:sz w:val="20"/>
            <w:szCs w:val="20"/>
          </w:rPr>
          <w:t>mmayhew1@worldbank.org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54988" w:rsidRDefault="00954988" w:rsidP="00954988">
      <w:pPr>
        <w:pStyle w:val="Heading7"/>
        <w:spacing w:before="0" w:beforeAutospacing="0" w:after="0" w:afterAutospacing="0"/>
        <w:ind w:left="1152" w:right="-72" w:hanging="11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 London: </w:t>
      </w:r>
      <w:r>
        <w:rPr>
          <w:rFonts w:ascii="Arial" w:hAnsi="Arial" w:cs="Arial"/>
          <w:color w:val="000000"/>
          <w:sz w:val="20"/>
          <w:szCs w:val="20"/>
        </w:rPr>
        <w:t xml:space="preserve">Derek Warren, </w:t>
      </w:r>
      <w:r>
        <w:rPr>
          <w:rFonts w:ascii="Helv" w:hAnsi="Helv" w:cs="Helv"/>
          <w:color w:val="000000"/>
          <w:sz w:val="20"/>
          <w:szCs w:val="20"/>
        </w:rPr>
        <w:t>+ 44 (0) 7932 607469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2" w:history="1">
        <w:r w:rsidRPr="0085300B">
          <w:rPr>
            <w:rStyle w:val="Hyperlink"/>
            <w:rFonts w:ascii="Arial" w:hAnsi="Arial" w:cs="Arial"/>
            <w:sz w:val="20"/>
            <w:szCs w:val="20"/>
          </w:rPr>
          <w:t>dwarren1@worldbank.org</w:t>
        </w:r>
      </w:hyperlink>
    </w:p>
    <w:p w:rsidR="00954988" w:rsidRDefault="00954988" w:rsidP="00954988">
      <w:pPr>
        <w:ind w:left="1152" w:right="-72" w:hanging="1152"/>
        <w:outlineLvl w:val="6"/>
        <w:rPr>
          <w:rFonts w:ascii="Arial" w:hAnsi="Arial" w:cs="Arial"/>
          <w:i/>
          <w:color w:val="000000"/>
          <w:sz w:val="20"/>
          <w:szCs w:val="20"/>
        </w:rPr>
      </w:pPr>
    </w:p>
    <w:p w:rsidR="00954988" w:rsidRDefault="00954988" w:rsidP="00954988">
      <w:pPr>
        <w:pStyle w:val="Heading7"/>
        <w:spacing w:before="0" w:beforeAutospacing="0" w:after="0" w:afterAutospacing="0"/>
        <w:ind w:left="1152" w:right="-72" w:hanging="1152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E15890">
        <w:rPr>
          <w:rFonts w:ascii="Arial" w:hAnsi="Arial" w:cs="Arial"/>
          <w:iCs/>
          <w:color w:val="000000"/>
          <w:sz w:val="20"/>
          <w:szCs w:val="20"/>
        </w:rPr>
        <w:t>For more information, please visit:</w:t>
      </w:r>
    </w:p>
    <w:p w:rsidR="00954988" w:rsidRDefault="00320FA5" w:rsidP="00954988">
      <w:pPr>
        <w:pStyle w:val="Heading7"/>
        <w:spacing w:before="0" w:beforeAutospacing="0" w:after="0" w:afterAutospacing="0"/>
        <w:ind w:left="1152" w:right="-72" w:hanging="1152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hyperlink r:id="rId13" w:history="1">
        <w:r w:rsidR="00954988" w:rsidRPr="00D20A42">
          <w:rPr>
            <w:rStyle w:val="Hyperlink"/>
            <w:rFonts w:ascii="Arial" w:hAnsi="Arial" w:cs="Arial"/>
            <w:i/>
            <w:iCs/>
            <w:sz w:val="20"/>
            <w:szCs w:val="20"/>
          </w:rPr>
          <w:t>www.worldbank.org/health</w:t>
        </w:r>
      </w:hyperlink>
    </w:p>
    <w:p w:rsidR="00954988" w:rsidRDefault="00320FA5" w:rsidP="00954988">
      <w:pPr>
        <w:pStyle w:val="Heading7"/>
        <w:spacing w:before="0" w:beforeAutospacing="0" w:after="0" w:afterAutospacing="0"/>
        <w:ind w:left="1152" w:right="-72" w:hanging="1152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hyperlink r:id="rId14" w:history="1">
        <w:r w:rsidR="00954988" w:rsidRPr="00D20A42">
          <w:rPr>
            <w:rStyle w:val="Hyperlink"/>
            <w:rFonts w:ascii="Arial" w:hAnsi="Arial" w:cs="Arial"/>
            <w:i/>
            <w:iCs/>
            <w:sz w:val="20"/>
            <w:szCs w:val="20"/>
          </w:rPr>
          <w:t>www.worldbank.org/ida</w:t>
        </w:r>
      </w:hyperlink>
    </w:p>
    <w:p w:rsidR="00954988" w:rsidRDefault="00320FA5" w:rsidP="00954988">
      <w:pPr>
        <w:pStyle w:val="Heading7"/>
        <w:spacing w:before="0" w:beforeAutospacing="0" w:after="0" w:afterAutospacing="0"/>
        <w:ind w:left="1152" w:right="-72" w:hanging="1152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hyperlink r:id="rId15" w:history="1">
        <w:r w:rsidR="00954988" w:rsidRPr="00D20A42">
          <w:rPr>
            <w:rStyle w:val="Hyperlink"/>
            <w:rFonts w:ascii="Arial" w:hAnsi="Arial" w:cs="Arial"/>
            <w:i/>
            <w:iCs/>
            <w:sz w:val="20"/>
            <w:szCs w:val="20"/>
          </w:rPr>
          <w:t>www.securenutritionplatform.org</w:t>
        </w:r>
      </w:hyperlink>
    </w:p>
    <w:p w:rsidR="00954988" w:rsidRDefault="00954988" w:rsidP="00954988">
      <w:pPr>
        <w:pStyle w:val="Heading7"/>
        <w:spacing w:before="0" w:beforeAutospacing="0" w:after="0" w:afterAutospacing="0"/>
        <w:ind w:left="1152" w:right="-72" w:hanging="1152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4988" w:rsidRDefault="00954988" w:rsidP="00954988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954988">
        <w:rPr>
          <w:rFonts w:ascii="Arial" w:hAnsi="Arial" w:cs="Arial"/>
          <w:i/>
          <w:iCs/>
          <w:color w:val="000000"/>
          <w:sz w:val="20"/>
          <w:szCs w:val="20"/>
        </w:rPr>
        <w:t>Follow on Twitter: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16" w:history="1">
        <w:r w:rsidRPr="00B43F8D">
          <w:rPr>
            <w:rStyle w:val="Hyperlink"/>
            <w:rFonts w:ascii="Arial" w:hAnsi="Arial" w:cs="Arial"/>
            <w:i/>
            <w:iCs/>
            <w:sz w:val="20"/>
            <w:szCs w:val="20"/>
          </w:rPr>
          <w:t>@</w:t>
        </w:r>
        <w:proofErr w:type="spellStart"/>
        <w:r w:rsidRPr="00B43F8D">
          <w:rPr>
            <w:rStyle w:val="Hyperlink"/>
            <w:rFonts w:ascii="Arial" w:hAnsi="Arial" w:cs="Arial"/>
            <w:i/>
            <w:iCs/>
            <w:sz w:val="20"/>
            <w:szCs w:val="20"/>
          </w:rPr>
          <w:t>worldbankhealth</w:t>
        </w:r>
        <w:proofErr w:type="spellEnd"/>
      </w:hyperlink>
    </w:p>
    <w:p w:rsidR="00954988" w:rsidRPr="00D337EF" w:rsidRDefault="00954988" w:rsidP="00954988">
      <w:pPr>
        <w:rPr>
          <w:rFonts w:ascii="Arial" w:hAnsi="Arial" w:cs="Arial"/>
          <w:b/>
          <w:sz w:val="20"/>
          <w:szCs w:val="20"/>
        </w:rPr>
      </w:pPr>
      <w:r w:rsidRPr="00D337EF">
        <w:rPr>
          <w:rFonts w:ascii="Arial" w:hAnsi="Arial" w:cs="Arial"/>
          <w:b/>
          <w:sz w:val="20"/>
          <w:szCs w:val="20"/>
        </w:rPr>
        <w:t xml:space="preserve">News Release </w:t>
      </w:r>
    </w:p>
    <w:p w:rsidR="00954988" w:rsidRDefault="00954988" w:rsidP="0095498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337EF">
        <w:rPr>
          <w:rFonts w:ascii="Helv" w:hAnsi="Helv" w:cs="Helv"/>
          <w:color w:val="000000"/>
          <w:sz w:val="20"/>
          <w:szCs w:val="20"/>
        </w:rPr>
        <w:t>2013/</w:t>
      </w:r>
      <w:r>
        <w:rPr>
          <w:rFonts w:ascii="Helv" w:hAnsi="Helv" w:cs="Helv"/>
          <w:color w:val="000000"/>
          <w:sz w:val="20"/>
          <w:szCs w:val="20"/>
        </w:rPr>
        <w:t>445/</w:t>
      </w:r>
      <w:r w:rsidRPr="00D337EF">
        <w:rPr>
          <w:rFonts w:ascii="Helv" w:hAnsi="Helv" w:cs="Helv"/>
          <w:color w:val="000000"/>
          <w:sz w:val="20"/>
          <w:szCs w:val="20"/>
        </w:rPr>
        <w:t>HDN</w:t>
      </w:r>
    </w:p>
    <w:sectPr w:rsidR="00954988" w:rsidSect="001D15D9">
      <w:pgSz w:w="12240" w:h="15840"/>
      <w:pgMar w:top="1296" w:right="1296" w:bottom="1296" w:left="133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A5" w:rsidRDefault="00320FA5">
      <w:r>
        <w:separator/>
      </w:r>
    </w:p>
  </w:endnote>
  <w:endnote w:type="continuationSeparator" w:id="0">
    <w:p w:rsidR="00320FA5" w:rsidRDefault="0032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A5" w:rsidRDefault="00320FA5">
      <w:r>
        <w:separator/>
      </w:r>
    </w:p>
  </w:footnote>
  <w:footnote w:type="continuationSeparator" w:id="0">
    <w:p w:rsidR="00320FA5" w:rsidRDefault="0032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5B8"/>
    <w:multiLevelType w:val="hybridMultilevel"/>
    <w:tmpl w:val="09FA3E7E"/>
    <w:lvl w:ilvl="0" w:tplc="BD5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F73DF"/>
    <w:multiLevelType w:val="hybridMultilevel"/>
    <w:tmpl w:val="0E60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C0688"/>
    <w:multiLevelType w:val="hybridMultilevel"/>
    <w:tmpl w:val="D01A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82F45"/>
    <w:multiLevelType w:val="hybridMultilevel"/>
    <w:tmpl w:val="6AF81526"/>
    <w:lvl w:ilvl="0" w:tplc="BE08E9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45B46">
      <w:start w:val="25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CC9C6">
      <w:start w:val="252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0D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230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42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61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C4B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0C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559C4"/>
    <w:multiLevelType w:val="hybridMultilevel"/>
    <w:tmpl w:val="0FF6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15363"/>
    <w:multiLevelType w:val="hybridMultilevel"/>
    <w:tmpl w:val="830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1B7AB4"/>
    <w:multiLevelType w:val="hybridMultilevel"/>
    <w:tmpl w:val="3C06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77044"/>
    <w:multiLevelType w:val="hybridMultilevel"/>
    <w:tmpl w:val="7410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038F6"/>
    <w:multiLevelType w:val="hybridMultilevel"/>
    <w:tmpl w:val="CAB0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A"/>
    <w:rsid w:val="00010561"/>
    <w:rsid w:val="00014842"/>
    <w:rsid w:val="00017718"/>
    <w:rsid w:val="0003274A"/>
    <w:rsid w:val="00033CF3"/>
    <w:rsid w:val="000520E5"/>
    <w:rsid w:val="00054B18"/>
    <w:rsid w:val="00056A69"/>
    <w:rsid w:val="0006653D"/>
    <w:rsid w:val="00094BEE"/>
    <w:rsid w:val="00094F04"/>
    <w:rsid w:val="000A2408"/>
    <w:rsid w:val="000A4237"/>
    <w:rsid w:val="000B263D"/>
    <w:rsid w:val="000D7217"/>
    <w:rsid w:val="000E2F4C"/>
    <w:rsid w:val="000E3C56"/>
    <w:rsid w:val="00114FF6"/>
    <w:rsid w:val="00117E7C"/>
    <w:rsid w:val="00120B57"/>
    <w:rsid w:val="0012357A"/>
    <w:rsid w:val="001357B7"/>
    <w:rsid w:val="0013651A"/>
    <w:rsid w:val="001379BA"/>
    <w:rsid w:val="00151E62"/>
    <w:rsid w:val="00154F7C"/>
    <w:rsid w:val="001628F3"/>
    <w:rsid w:val="00167A5C"/>
    <w:rsid w:val="00174985"/>
    <w:rsid w:val="00177CEB"/>
    <w:rsid w:val="00185184"/>
    <w:rsid w:val="00195142"/>
    <w:rsid w:val="001957FC"/>
    <w:rsid w:val="0019735B"/>
    <w:rsid w:val="00197B0E"/>
    <w:rsid w:val="001A5B66"/>
    <w:rsid w:val="001B2C64"/>
    <w:rsid w:val="001C0832"/>
    <w:rsid w:val="001C450C"/>
    <w:rsid w:val="001D15D9"/>
    <w:rsid w:val="001D427C"/>
    <w:rsid w:val="001E6FC7"/>
    <w:rsid w:val="00202CDB"/>
    <w:rsid w:val="00211084"/>
    <w:rsid w:val="002320C7"/>
    <w:rsid w:val="00255881"/>
    <w:rsid w:val="00261ED2"/>
    <w:rsid w:val="002644F5"/>
    <w:rsid w:val="002771D1"/>
    <w:rsid w:val="002818F3"/>
    <w:rsid w:val="00281C26"/>
    <w:rsid w:val="002908B6"/>
    <w:rsid w:val="0029249E"/>
    <w:rsid w:val="00296051"/>
    <w:rsid w:val="002A677D"/>
    <w:rsid w:val="002B3F55"/>
    <w:rsid w:val="002B5B00"/>
    <w:rsid w:val="002C1335"/>
    <w:rsid w:val="002C66DC"/>
    <w:rsid w:val="002D1EE7"/>
    <w:rsid w:val="002D2310"/>
    <w:rsid w:val="002D2806"/>
    <w:rsid w:val="002F0EFF"/>
    <w:rsid w:val="002F3422"/>
    <w:rsid w:val="003079F5"/>
    <w:rsid w:val="0031055C"/>
    <w:rsid w:val="003112DB"/>
    <w:rsid w:val="00311FEC"/>
    <w:rsid w:val="00314302"/>
    <w:rsid w:val="00320FA5"/>
    <w:rsid w:val="00326E81"/>
    <w:rsid w:val="00333464"/>
    <w:rsid w:val="00336C7D"/>
    <w:rsid w:val="00337CB4"/>
    <w:rsid w:val="00342752"/>
    <w:rsid w:val="00343B6B"/>
    <w:rsid w:val="00345930"/>
    <w:rsid w:val="00346B04"/>
    <w:rsid w:val="00350E1B"/>
    <w:rsid w:val="00352200"/>
    <w:rsid w:val="0035415A"/>
    <w:rsid w:val="003564B2"/>
    <w:rsid w:val="003733F1"/>
    <w:rsid w:val="00386813"/>
    <w:rsid w:val="003A6783"/>
    <w:rsid w:val="003B4776"/>
    <w:rsid w:val="003B662E"/>
    <w:rsid w:val="003E6ADC"/>
    <w:rsid w:val="003F1A7D"/>
    <w:rsid w:val="00415AB8"/>
    <w:rsid w:val="00416C6F"/>
    <w:rsid w:val="00425A96"/>
    <w:rsid w:val="0042746D"/>
    <w:rsid w:val="00433E4F"/>
    <w:rsid w:val="00435AF2"/>
    <w:rsid w:val="00444F75"/>
    <w:rsid w:val="0046724B"/>
    <w:rsid w:val="004730E6"/>
    <w:rsid w:val="00473322"/>
    <w:rsid w:val="004755E0"/>
    <w:rsid w:val="0047694E"/>
    <w:rsid w:val="004933F2"/>
    <w:rsid w:val="004A1C50"/>
    <w:rsid w:val="004A7A4F"/>
    <w:rsid w:val="004B0EAB"/>
    <w:rsid w:val="004B427A"/>
    <w:rsid w:val="004C52B3"/>
    <w:rsid w:val="004C69BA"/>
    <w:rsid w:val="004E2D32"/>
    <w:rsid w:val="004E3318"/>
    <w:rsid w:val="004E7856"/>
    <w:rsid w:val="004F1612"/>
    <w:rsid w:val="004F7B4D"/>
    <w:rsid w:val="005000D0"/>
    <w:rsid w:val="005072C7"/>
    <w:rsid w:val="00517F98"/>
    <w:rsid w:val="0054539C"/>
    <w:rsid w:val="00546A85"/>
    <w:rsid w:val="00551B42"/>
    <w:rsid w:val="0055670D"/>
    <w:rsid w:val="005576C3"/>
    <w:rsid w:val="005735C4"/>
    <w:rsid w:val="00573CC1"/>
    <w:rsid w:val="00574B6A"/>
    <w:rsid w:val="0058094C"/>
    <w:rsid w:val="005813B0"/>
    <w:rsid w:val="0059154B"/>
    <w:rsid w:val="005A530B"/>
    <w:rsid w:val="005B3A7B"/>
    <w:rsid w:val="005B4821"/>
    <w:rsid w:val="005B5846"/>
    <w:rsid w:val="005B7BB0"/>
    <w:rsid w:val="005D4507"/>
    <w:rsid w:val="005E596C"/>
    <w:rsid w:val="005E5ACF"/>
    <w:rsid w:val="005E65A5"/>
    <w:rsid w:val="005F2350"/>
    <w:rsid w:val="005F4DBE"/>
    <w:rsid w:val="00603A23"/>
    <w:rsid w:val="00615982"/>
    <w:rsid w:val="00617F04"/>
    <w:rsid w:val="0062212F"/>
    <w:rsid w:val="006234DA"/>
    <w:rsid w:val="006237A6"/>
    <w:rsid w:val="0062442E"/>
    <w:rsid w:val="0062458A"/>
    <w:rsid w:val="00637355"/>
    <w:rsid w:val="00647033"/>
    <w:rsid w:val="0065063B"/>
    <w:rsid w:val="00651EAD"/>
    <w:rsid w:val="00652177"/>
    <w:rsid w:val="0065600B"/>
    <w:rsid w:val="006564A1"/>
    <w:rsid w:val="006569EB"/>
    <w:rsid w:val="00657226"/>
    <w:rsid w:val="00671149"/>
    <w:rsid w:val="006743E4"/>
    <w:rsid w:val="00680B26"/>
    <w:rsid w:val="00686437"/>
    <w:rsid w:val="006B183E"/>
    <w:rsid w:val="006C3975"/>
    <w:rsid w:val="006D1763"/>
    <w:rsid w:val="006D4DA2"/>
    <w:rsid w:val="006D7651"/>
    <w:rsid w:val="00701B17"/>
    <w:rsid w:val="007037A3"/>
    <w:rsid w:val="00703C3C"/>
    <w:rsid w:val="00714BF1"/>
    <w:rsid w:val="00715AA0"/>
    <w:rsid w:val="0071613D"/>
    <w:rsid w:val="00717261"/>
    <w:rsid w:val="00720331"/>
    <w:rsid w:val="0072565C"/>
    <w:rsid w:val="007418F5"/>
    <w:rsid w:val="00745A70"/>
    <w:rsid w:val="007472A5"/>
    <w:rsid w:val="00756A95"/>
    <w:rsid w:val="00757329"/>
    <w:rsid w:val="00757CF3"/>
    <w:rsid w:val="0076768A"/>
    <w:rsid w:val="00767743"/>
    <w:rsid w:val="00770A6F"/>
    <w:rsid w:val="00775DB4"/>
    <w:rsid w:val="00780975"/>
    <w:rsid w:val="0078161C"/>
    <w:rsid w:val="00793D4A"/>
    <w:rsid w:val="007A06A8"/>
    <w:rsid w:val="007A1EFF"/>
    <w:rsid w:val="007A4835"/>
    <w:rsid w:val="007A528D"/>
    <w:rsid w:val="007D416D"/>
    <w:rsid w:val="007D4DE5"/>
    <w:rsid w:val="007D6E9D"/>
    <w:rsid w:val="007F35C0"/>
    <w:rsid w:val="00811AF3"/>
    <w:rsid w:val="00812603"/>
    <w:rsid w:val="00812FB5"/>
    <w:rsid w:val="008270BE"/>
    <w:rsid w:val="00827925"/>
    <w:rsid w:val="00835452"/>
    <w:rsid w:val="00836B2E"/>
    <w:rsid w:val="008462A5"/>
    <w:rsid w:val="0085300B"/>
    <w:rsid w:val="0085659C"/>
    <w:rsid w:val="00863B96"/>
    <w:rsid w:val="00870902"/>
    <w:rsid w:val="0087136F"/>
    <w:rsid w:val="00875ECE"/>
    <w:rsid w:val="0087616B"/>
    <w:rsid w:val="00883F71"/>
    <w:rsid w:val="00890613"/>
    <w:rsid w:val="008A0A91"/>
    <w:rsid w:val="008A114E"/>
    <w:rsid w:val="008B088F"/>
    <w:rsid w:val="008B0B59"/>
    <w:rsid w:val="008B5CD7"/>
    <w:rsid w:val="008C31EE"/>
    <w:rsid w:val="008C50AF"/>
    <w:rsid w:val="008D0628"/>
    <w:rsid w:val="008D168B"/>
    <w:rsid w:val="008E6628"/>
    <w:rsid w:val="008F01CC"/>
    <w:rsid w:val="008F28C3"/>
    <w:rsid w:val="008F2D49"/>
    <w:rsid w:val="00927294"/>
    <w:rsid w:val="009329CC"/>
    <w:rsid w:val="0094039C"/>
    <w:rsid w:val="00943288"/>
    <w:rsid w:val="00943A95"/>
    <w:rsid w:val="00954988"/>
    <w:rsid w:val="009573EB"/>
    <w:rsid w:val="0095756C"/>
    <w:rsid w:val="0096552C"/>
    <w:rsid w:val="00971796"/>
    <w:rsid w:val="00974076"/>
    <w:rsid w:val="0099087E"/>
    <w:rsid w:val="009A73CB"/>
    <w:rsid w:val="009A7658"/>
    <w:rsid w:val="009B5122"/>
    <w:rsid w:val="009C5864"/>
    <w:rsid w:val="009D0CBB"/>
    <w:rsid w:val="009D2F23"/>
    <w:rsid w:val="009E1EC3"/>
    <w:rsid w:val="009F4BFC"/>
    <w:rsid w:val="009F4CA1"/>
    <w:rsid w:val="009F611C"/>
    <w:rsid w:val="00A05A23"/>
    <w:rsid w:val="00A0789C"/>
    <w:rsid w:val="00A167D0"/>
    <w:rsid w:val="00A3783C"/>
    <w:rsid w:val="00A5147D"/>
    <w:rsid w:val="00A53717"/>
    <w:rsid w:val="00A54CDD"/>
    <w:rsid w:val="00A64EF9"/>
    <w:rsid w:val="00A660BB"/>
    <w:rsid w:val="00A9209B"/>
    <w:rsid w:val="00AB1CD4"/>
    <w:rsid w:val="00AB544E"/>
    <w:rsid w:val="00AC10D5"/>
    <w:rsid w:val="00AC17F3"/>
    <w:rsid w:val="00AF4E14"/>
    <w:rsid w:val="00AF5CAA"/>
    <w:rsid w:val="00B07C80"/>
    <w:rsid w:val="00B224C8"/>
    <w:rsid w:val="00B2473D"/>
    <w:rsid w:val="00B32C1E"/>
    <w:rsid w:val="00B375EE"/>
    <w:rsid w:val="00B41E9E"/>
    <w:rsid w:val="00B43F8D"/>
    <w:rsid w:val="00B45B79"/>
    <w:rsid w:val="00B518B0"/>
    <w:rsid w:val="00B63ED8"/>
    <w:rsid w:val="00B70174"/>
    <w:rsid w:val="00B73552"/>
    <w:rsid w:val="00B7471E"/>
    <w:rsid w:val="00B803AD"/>
    <w:rsid w:val="00B8362E"/>
    <w:rsid w:val="00B8650D"/>
    <w:rsid w:val="00B93A61"/>
    <w:rsid w:val="00B97E8E"/>
    <w:rsid w:val="00B97EC1"/>
    <w:rsid w:val="00BA1FE8"/>
    <w:rsid w:val="00BB593A"/>
    <w:rsid w:val="00BB699E"/>
    <w:rsid w:val="00BB710A"/>
    <w:rsid w:val="00BC1862"/>
    <w:rsid w:val="00BC2E38"/>
    <w:rsid w:val="00BC347A"/>
    <w:rsid w:val="00BC6F62"/>
    <w:rsid w:val="00BD40B1"/>
    <w:rsid w:val="00BD63B0"/>
    <w:rsid w:val="00BD734A"/>
    <w:rsid w:val="00BE5D5B"/>
    <w:rsid w:val="00BF2196"/>
    <w:rsid w:val="00BF5483"/>
    <w:rsid w:val="00BF77FC"/>
    <w:rsid w:val="00C0282A"/>
    <w:rsid w:val="00C12A4D"/>
    <w:rsid w:val="00C241C0"/>
    <w:rsid w:val="00C316F7"/>
    <w:rsid w:val="00C44882"/>
    <w:rsid w:val="00C5711D"/>
    <w:rsid w:val="00C82B0E"/>
    <w:rsid w:val="00C92FB5"/>
    <w:rsid w:val="00C9764F"/>
    <w:rsid w:val="00CA38BD"/>
    <w:rsid w:val="00CA6FA0"/>
    <w:rsid w:val="00CB6E72"/>
    <w:rsid w:val="00CC59B2"/>
    <w:rsid w:val="00D0300A"/>
    <w:rsid w:val="00D16F3D"/>
    <w:rsid w:val="00D337EF"/>
    <w:rsid w:val="00D35E3E"/>
    <w:rsid w:val="00D70DAD"/>
    <w:rsid w:val="00D76E1F"/>
    <w:rsid w:val="00D82FA1"/>
    <w:rsid w:val="00DC21DD"/>
    <w:rsid w:val="00DC785E"/>
    <w:rsid w:val="00DE3288"/>
    <w:rsid w:val="00DE36B3"/>
    <w:rsid w:val="00DE65C5"/>
    <w:rsid w:val="00DF303B"/>
    <w:rsid w:val="00E042D1"/>
    <w:rsid w:val="00E04913"/>
    <w:rsid w:val="00E10EFE"/>
    <w:rsid w:val="00E127E8"/>
    <w:rsid w:val="00E12914"/>
    <w:rsid w:val="00E17456"/>
    <w:rsid w:val="00E525FC"/>
    <w:rsid w:val="00E5593C"/>
    <w:rsid w:val="00E624E8"/>
    <w:rsid w:val="00E81976"/>
    <w:rsid w:val="00E86DC4"/>
    <w:rsid w:val="00E877F9"/>
    <w:rsid w:val="00E9611B"/>
    <w:rsid w:val="00EA271B"/>
    <w:rsid w:val="00EA3B2F"/>
    <w:rsid w:val="00EB11AC"/>
    <w:rsid w:val="00EC09E1"/>
    <w:rsid w:val="00EC197A"/>
    <w:rsid w:val="00EC20BA"/>
    <w:rsid w:val="00ED7F5A"/>
    <w:rsid w:val="00EE09A7"/>
    <w:rsid w:val="00EE2B30"/>
    <w:rsid w:val="00EE4048"/>
    <w:rsid w:val="00EF46D4"/>
    <w:rsid w:val="00F068F1"/>
    <w:rsid w:val="00F17799"/>
    <w:rsid w:val="00F24D3F"/>
    <w:rsid w:val="00F40E16"/>
    <w:rsid w:val="00F42391"/>
    <w:rsid w:val="00F53548"/>
    <w:rsid w:val="00F54C56"/>
    <w:rsid w:val="00F554C6"/>
    <w:rsid w:val="00F62BFE"/>
    <w:rsid w:val="00F7235B"/>
    <w:rsid w:val="00F727C1"/>
    <w:rsid w:val="00F73F3C"/>
    <w:rsid w:val="00F82681"/>
    <w:rsid w:val="00F8357A"/>
    <w:rsid w:val="00F916C7"/>
    <w:rsid w:val="00F94101"/>
    <w:rsid w:val="00FB2524"/>
    <w:rsid w:val="00FB3ABF"/>
    <w:rsid w:val="00FB7B25"/>
    <w:rsid w:val="00FC0A21"/>
    <w:rsid w:val="00FD2D6E"/>
    <w:rsid w:val="00FD640D"/>
    <w:rsid w:val="00FD6DE3"/>
    <w:rsid w:val="00FE0399"/>
    <w:rsid w:val="00FE0D8D"/>
    <w:rsid w:val="00FE1F49"/>
    <w:rsid w:val="00FE66E7"/>
    <w:rsid w:val="00FF0CAF"/>
    <w:rsid w:val="00FF2B3E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F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link w:val="Heading7Char"/>
    <w:uiPriority w:val="99"/>
    <w:qFormat/>
    <w:rsid w:val="00701B17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1F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47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471E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7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7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6653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55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3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5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71E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537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53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5371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3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53717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B699E"/>
    <w:pPr>
      <w:spacing w:after="200"/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rsid w:val="00BB699E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B699E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BB699E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DC785E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D4DA2"/>
    <w:rPr>
      <w:rFonts w:ascii="Calibri" w:hAnsi="Calibri" w:cs="Times New Roman"/>
      <w:sz w:val="24"/>
      <w:szCs w:val="24"/>
    </w:rPr>
  </w:style>
  <w:style w:type="paragraph" w:customStyle="1" w:styleId="brief">
    <w:name w:val="brief"/>
    <w:basedOn w:val="Normal"/>
    <w:uiPriority w:val="99"/>
    <w:rsid w:val="006D4DA2"/>
    <w:pPr>
      <w:tabs>
        <w:tab w:val="left" w:pos="360"/>
      </w:tabs>
      <w:ind w:left="360" w:hanging="360"/>
    </w:pPr>
    <w:rPr>
      <w:rFonts w:ascii="Book Antiqua" w:hAnsi="Book Antiqu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77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F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link w:val="Heading7Char"/>
    <w:uiPriority w:val="99"/>
    <w:qFormat/>
    <w:rsid w:val="00701B17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1F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47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471E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7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7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6653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55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3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5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71E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537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53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5371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3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53717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B699E"/>
    <w:pPr>
      <w:spacing w:after="200"/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rsid w:val="00BB699E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B699E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BB699E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DC785E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D4DA2"/>
    <w:rPr>
      <w:rFonts w:ascii="Calibri" w:hAnsi="Calibri" w:cs="Times New Roman"/>
      <w:sz w:val="24"/>
      <w:szCs w:val="24"/>
    </w:rPr>
  </w:style>
  <w:style w:type="paragraph" w:customStyle="1" w:styleId="brief">
    <w:name w:val="brief"/>
    <w:basedOn w:val="Normal"/>
    <w:uiPriority w:val="99"/>
    <w:rsid w:val="006D4DA2"/>
    <w:pPr>
      <w:tabs>
        <w:tab w:val="left" w:pos="360"/>
      </w:tabs>
      <w:ind w:left="360" w:hanging="360"/>
    </w:pPr>
    <w:rPr>
      <w:rFonts w:ascii="Book Antiqua" w:hAnsi="Book Antiqu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7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orldbank.org/healt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wb74378\Desktop\dwarren1@worldbank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worldbankhealt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ayhew1@worldbank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curenutritionplatform.org" TargetMode="External"/><Relationship Id="rId10" Type="http://schemas.openxmlformats.org/officeDocument/2006/relationships/hyperlink" Target="http://www.worldbank.org/id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worldbank.org/i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0456-61B4-44BC-9AA6-057D137F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wb263062</dc:creator>
  <cp:lastModifiedBy>Melanie Ann Mayhew</cp:lastModifiedBy>
  <cp:revision>2</cp:revision>
  <cp:lastPrinted>2013-06-04T20:47:00Z</cp:lastPrinted>
  <dcterms:created xsi:type="dcterms:W3CDTF">2013-06-06T11:26:00Z</dcterms:created>
  <dcterms:modified xsi:type="dcterms:W3CDTF">2013-06-06T11:26:00Z</dcterms:modified>
</cp:coreProperties>
</file>