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BC347A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F94101" w:rsidP="008B5CD7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BC347A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BC347A" w:rsidRPr="00F73F3C" w:rsidRDefault="00BC347A" w:rsidP="00F73F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F73F3C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NEWS RELEASE</w:t>
            </w:r>
            <w:r w:rsidRPr="00F73F3C">
              <w:rPr>
                <w:color w:val="000000"/>
                <w:sz w:val="26"/>
                <w:szCs w:val="26"/>
              </w:rPr>
              <w:t xml:space="preserve">                                                           </w:t>
            </w:r>
          </w:p>
        </w:tc>
      </w:tr>
    </w:tbl>
    <w:p w:rsidR="00416C6F" w:rsidRDefault="00416C6F" w:rsidP="00177CEB">
      <w:pPr>
        <w:rPr>
          <w:rFonts w:ascii="Arial" w:hAnsi="Arial" w:cs="Arial"/>
          <w:b/>
          <w:sz w:val="20"/>
          <w:szCs w:val="20"/>
        </w:rPr>
      </w:pPr>
    </w:p>
    <w:p w:rsidR="00416C6F" w:rsidRDefault="00271811" w:rsidP="00177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92075</wp:posOffset>
                </wp:positionV>
                <wp:extent cx="7115175" cy="0"/>
                <wp:effectExtent l="11430" t="6350" r="762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7.25pt;width:56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vI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JkljzMMKKjLiL56KiNdZ+56pEXCmydIaJpXamkhMYrk4Qw5Phs&#10;nadF8tHBR5VqK7ou9L+TaCjwcpbOgoNVnWBe6c2safZlZ9CR+AkKX8gRNPdmRh0kC2AtJ2xzlR0R&#10;3UWG4J30eJAY0LlKlxH5sYyXm8VmkU2ydL6ZZHFVTZ62ZTaZbyH16lNVllXy01NLsrwVjHHp2Y3j&#10;mmR/Nw7XxbkM2m1gb2WI3qOHegHZ8R9Ih876Zl7GYq/YeWfGjsOEBuPrNvkVuL+DfL/z618AAAD/&#10;/wMAUEsDBBQABgAIAAAAIQB5YPQj3QAAAAoBAAAPAAAAZHJzL2Rvd25yZXYueG1sTI/BTsMwDIbv&#10;SLxDZCQuaEtW1gpK02lC4sCRbRLXrDFtoXGqJl3Lnh5PHOBo/59+fy42s+vECYfQetKwWioQSJW3&#10;LdUaDvuXxQOIEA1Z03lCDd8YYFNeXxUmt36iNzztYi24hEJuNDQx9rmUoWrQmbD0PRJnH35wJvI4&#10;1NIOZuJy18lEqUw60xJfaEyPzw1WX7vRacAwpiu1fXT14fU83b0n58+p32t9ezNvn0BEnOMfDBd9&#10;VoeSnY5+JBtEp2GRrRNGOVinIC6ASrN7EMffjSwL+f+F8gcAAP//AwBQSwECLQAUAAYACAAAACEA&#10;toM4kv4AAADhAQAAEwAAAAAAAAAAAAAAAAAAAAAAW0NvbnRlbnRfVHlwZXNdLnhtbFBLAQItABQA&#10;BgAIAAAAIQA4/SH/1gAAAJQBAAALAAAAAAAAAAAAAAAAAC8BAABfcmVscy8ucmVsc1BLAQItABQA&#10;BgAIAAAAIQAwtWvIHQIAADsEAAAOAAAAAAAAAAAAAAAAAC4CAABkcnMvZTJvRG9jLnhtbFBLAQIt&#10;ABQABgAIAAAAIQB5YPQj3QAAAAoBAAAPAAAAAAAAAAAAAAAAAHcEAABkcnMvZG93bnJldi54bWxQ&#10;SwUGAAAAAAQABADzAAAAgQUAAAAA&#10;"/>
            </w:pict>
          </mc:Fallback>
        </mc:AlternateContent>
      </w:r>
    </w:p>
    <w:p w:rsidR="00A20F2C" w:rsidRPr="00A20F2C" w:rsidRDefault="00A20F2C" w:rsidP="00A20F2C">
      <w:pPr>
        <w:ind w:right="-72"/>
        <w:rPr>
          <w:rFonts w:ascii="Arial" w:hAnsi="Arial" w:cs="Arial"/>
          <w:color w:val="000000"/>
          <w:sz w:val="20"/>
          <w:szCs w:val="20"/>
        </w:rPr>
      </w:pPr>
    </w:p>
    <w:p w:rsidR="00A20F2C" w:rsidRPr="00A20F2C" w:rsidRDefault="00A20F2C" w:rsidP="00A20F2C">
      <w:pPr>
        <w:ind w:right="-72"/>
        <w:jc w:val="center"/>
        <w:rPr>
          <w:rFonts w:ascii="Arial" w:hAnsi="Arial" w:cs="Arial"/>
          <w:color w:val="000000"/>
          <w:sz w:val="32"/>
          <w:szCs w:val="32"/>
        </w:rPr>
      </w:pPr>
    </w:p>
    <w:p w:rsidR="00A20F2C" w:rsidRPr="00A20F2C" w:rsidRDefault="0059696B" w:rsidP="00A20F2C">
      <w:pPr>
        <w:ind w:right="-72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World Bank Places Governance at the Heart of Higher Education Reform</w:t>
      </w:r>
    </w:p>
    <w:p w:rsidR="00A20F2C" w:rsidRPr="00A20F2C" w:rsidRDefault="00A20F2C" w:rsidP="00A20F2C">
      <w:pPr>
        <w:ind w:right="-72"/>
        <w:rPr>
          <w:rFonts w:ascii="Arial" w:hAnsi="Arial" w:cs="Arial"/>
          <w:color w:val="000000"/>
          <w:sz w:val="20"/>
          <w:szCs w:val="20"/>
        </w:rPr>
      </w:pPr>
    </w:p>
    <w:p w:rsidR="00A20F2C" w:rsidRPr="00A20F2C" w:rsidRDefault="00A20F2C" w:rsidP="00A20F2C">
      <w:pPr>
        <w:ind w:right="-72"/>
        <w:rPr>
          <w:rFonts w:ascii="Arial" w:hAnsi="Arial" w:cs="Arial"/>
          <w:b/>
          <w:color w:val="000000"/>
          <w:sz w:val="20"/>
          <w:szCs w:val="20"/>
        </w:rPr>
      </w:pPr>
    </w:p>
    <w:p w:rsidR="005C464C" w:rsidRPr="00897D97" w:rsidRDefault="001341FE" w:rsidP="003B1DE4">
      <w:pPr>
        <w:ind w:right="18"/>
        <w:jc w:val="both"/>
        <w:rPr>
          <w:rFonts w:ascii="Arial" w:hAnsi="Arial" w:cs="Arial"/>
          <w:sz w:val="20"/>
          <w:szCs w:val="20"/>
        </w:rPr>
      </w:pPr>
      <w:r w:rsidRPr="00897D97">
        <w:rPr>
          <w:rFonts w:ascii="Arial" w:hAnsi="Arial" w:cs="Arial"/>
          <w:sz w:val="20"/>
          <w:szCs w:val="20"/>
        </w:rPr>
        <w:t xml:space="preserve">YEREVAN, May 7, 2013 – </w:t>
      </w:r>
      <w:r w:rsidRPr="00897D97">
        <w:rPr>
          <w:rFonts w:ascii="Arial" w:hAnsi="Arial" w:cs="Arial"/>
          <w:b/>
          <w:sz w:val="20"/>
          <w:szCs w:val="20"/>
        </w:rPr>
        <w:t>“</w:t>
      </w:r>
      <w:r w:rsidR="005C464C" w:rsidRPr="00897D97">
        <w:rPr>
          <w:rFonts w:ascii="Arial" w:hAnsi="Arial" w:cs="Arial"/>
          <w:b/>
          <w:sz w:val="20"/>
          <w:szCs w:val="20"/>
        </w:rPr>
        <w:t>Higher Education Reform in Armenia</w:t>
      </w:r>
      <w:r w:rsidRPr="00897D97">
        <w:rPr>
          <w:rFonts w:ascii="Arial" w:hAnsi="Arial" w:cs="Arial"/>
          <w:b/>
          <w:sz w:val="20"/>
          <w:szCs w:val="20"/>
        </w:rPr>
        <w:t>”</w:t>
      </w:r>
      <w:r w:rsidRPr="00897D97">
        <w:rPr>
          <w:rFonts w:ascii="Arial" w:hAnsi="Arial" w:cs="Arial"/>
          <w:sz w:val="20"/>
          <w:szCs w:val="20"/>
        </w:rPr>
        <w:t>,</w:t>
      </w:r>
      <w:r w:rsidR="005C464C" w:rsidRPr="00897D97">
        <w:rPr>
          <w:rFonts w:ascii="Arial" w:hAnsi="Arial" w:cs="Arial"/>
          <w:sz w:val="20"/>
          <w:szCs w:val="20"/>
        </w:rPr>
        <w:t xml:space="preserve"> a </w:t>
      </w:r>
      <w:r w:rsidR="00540627">
        <w:rPr>
          <w:rFonts w:ascii="Arial" w:hAnsi="Arial" w:cs="Arial"/>
          <w:sz w:val="20"/>
          <w:szCs w:val="20"/>
        </w:rPr>
        <w:t>one-</w:t>
      </w:r>
      <w:r w:rsidR="005C464C" w:rsidRPr="00897D97">
        <w:rPr>
          <w:rFonts w:ascii="Arial" w:hAnsi="Arial" w:cs="Arial"/>
          <w:sz w:val="20"/>
          <w:szCs w:val="20"/>
        </w:rPr>
        <w:t>day conference, on May 7</w:t>
      </w:r>
      <w:r w:rsidRPr="00897D97">
        <w:rPr>
          <w:rFonts w:ascii="Arial" w:hAnsi="Arial" w:cs="Arial"/>
          <w:sz w:val="20"/>
          <w:szCs w:val="20"/>
        </w:rPr>
        <w:t xml:space="preserve">, </w:t>
      </w:r>
      <w:r w:rsidR="003F3C35">
        <w:rPr>
          <w:rFonts w:ascii="Arial" w:hAnsi="Arial" w:cs="Arial"/>
          <w:sz w:val="20"/>
          <w:szCs w:val="20"/>
        </w:rPr>
        <w:t>organiz</w:t>
      </w:r>
      <w:r w:rsidRPr="00897D97">
        <w:rPr>
          <w:rFonts w:ascii="Arial" w:hAnsi="Arial" w:cs="Arial"/>
          <w:sz w:val="20"/>
          <w:szCs w:val="20"/>
        </w:rPr>
        <w:t>ed by the World Bank</w:t>
      </w:r>
      <w:r w:rsidR="003F3C35">
        <w:rPr>
          <w:rFonts w:ascii="Arial" w:hAnsi="Arial" w:cs="Arial"/>
          <w:sz w:val="20"/>
          <w:szCs w:val="20"/>
        </w:rPr>
        <w:t xml:space="preserve"> and the Ministry of Education</w:t>
      </w:r>
      <w:r w:rsidRPr="00897D97">
        <w:rPr>
          <w:rFonts w:ascii="Arial" w:hAnsi="Arial" w:cs="Arial"/>
          <w:sz w:val="20"/>
          <w:szCs w:val="20"/>
        </w:rPr>
        <w:t xml:space="preserve">, with participation of Government </w:t>
      </w:r>
      <w:r w:rsidR="003F3C35">
        <w:rPr>
          <w:rFonts w:ascii="Arial" w:hAnsi="Arial" w:cs="Arial"/>
          <w:sz w:val="20"/>
          <w:szCs w:val="20"/>
        </w:rPr>
        <w:t>agencies</w:t>
      </w:r>
      <w:r w:rsidR="00350D22" w:rsidRPr="00897D97">
        <w:rPr>
          <w:rFonts w:ascii="Arial" w:hAnsi="Arial" w:cs="Arial"/>
          <w:sz w:val="20"/>
          <w:szCs w:val="20"/>
        </w:rPr>
        <w:t>,</w:t>
      </w:r>
      <w:r w:rsidRPr="00897D97">
        <w:rPr>
          <w:rFonts w:ascii="Arial" w:hAnsi="Arial" w:cs="Arial"/>
          <w:sz w:val="20"/>
          <w:szCs w:val="20"/>
        </w:rPr>
        <w:t xml:space="preserve"> </w:t>
      </w:r>
      <w:r w:rsidR="005C464C" w:rsidRPr="00897D97">
        <w:rPr>
          <w:rFonts w:ascii="Arial" w:hAnsi="Arial" w:cs="Arial"/>
          <w:sz w:val="20"/>
          <w:szCs w:val="20"/>
        </w:rPr>
        <w:t xml:space="preserve">representatives from </w:t>
      </w:r>
      <w:r w:rsidR="00350D22" w:rsidRPr="00897D97">
        <w:rPr>
          <w:rFonts w:ascii="Arial" w:hAnsi="Arial" w:cs="Arial"/>
          <w:sz w:val="20"/>
          <w:szCs w:val="20"/>
        </w:rPr>
        <w:t xml:space="preserve">tertiary </w:t>
      </w:r>
      <w:r w:rsidR="005C464C" w:rsidRPr="00897D97">
        <w:rPr>
          <w:rFonts w:ascii="Arial" w:hAnsi="Arial" w:cs="Arial"/>
          <w:sz w:val="20"/>
          <w:szCs w:val="20"/>
        </w:rPr>
        <w:t xml:space="preserve">education </w:t>
      </w:r>
      <w:r w:rsidR="006164E3">
        <w:rPr>
          <w:rFonts w:ascii="Arial" w:hAnsi="Arial" w:cs="Arial"/>
          <w:sz w:val="20"/>
          <w:szCs w:val="20"/>
        </w:rPr>
        <w:t xml:space="preserve">and </w:t>
      </w:r>
      <w:r w:rsidR="006164E3" w:rsidRPr="00897D97">
        <w:rPr>
          <w:rFonts w:ascii="Arial" w:hAnsi="Arial" w:cs="Arial"/>
          <w:sz w:val="20"/>
          <w:szCs w:val="20"/>
        </w:rPr>
        <w:t>research</w:t>
      </w:r>
      <w:r w:rsidR="005C464C" w:rsidRPr="00897D97">
        <w:rPr>
          <w:rFonts w:ascii="Arial" w:hAnsi="Arial" w:cs="Arial"/>
          <w:sz w:val="20"/>
          <w:szCs w:val="20"/>
        </w:rPr>
        <w:t xml:space="preserve"> institutions, </w:t>
      </w:r>
      <w:r w:rsidR="003F3C35">
        <w:rPr>
          <w:rFonts w:ascii="Arial" w:hAnsi="Arial" w:cs="Arial"/>
          <w:sz w:val="20"/>
          <w:szCs w:val="20"/>
        </w:rPr>
        <w:t xml:space="preserve">as well </w:t>
      </w:r>
      <w:r w:rsidR="0067525B">
        <w:rPr>
          <w:rFonts w:ascii="Arial" w:hAnsi="Arial" w:cs="Arial"/>
          <w:sz w:val="20"/>
          <w:szCs w:val="20"/>
        </w:rPr>
        <w:t xml:space="preserve">as </w:t>
      </w:r>
      <w:r w:rsidR="0067525B" w:rsidRPr="00897D97">
        <w:rPr>
          <w:rFonts w:ascii="Arial" w:hAnsi="Arial" w:cs="Arial"/>
          <w:sz w:val="20"/>
          <w:szCs w:val="20"/>
        </w:rPr>
        <w:t>employers</w:t>
      </w:r>
      <w:r w:rsidR="005C464C" w:rsidRPr="00897D97">
        <w:rPr>
          <w:rFonts w:ascii="Arial" w:hAnsi="Arial" w:cs="Arial"/>
          <w:sz w:val="20"/>
          <w:szCs w:val="20"/>
        </w:rPr>
        <w:t xml:space="preserve"> and student bodies will share the latest trends in higher education reforms, the progress in the Bologna Process in Armenia and abroad, </w:t>
      </w:r>
      <w:r w:rsidR="001F5C50">
        <w:rPr>
          <w:rFonts w:ascii="Arial" w:hAnsi="Arial" w:cs="Arial"/>
          <w:sz w:val="20"/>
          <w:szCs w:val="20"/>
        </w:rPr>
        <w:t xml:space="preserve">as well as the </w:t>
      </w:r>
      <w:r w:rsidR="005C464C" w:rsidRPr="00897D97">
        <w:rPr>
          <w:rFonts w:ascii="Arial" w:hAnsi="Arial" w:cs="Arial"/>
          <w:sz w:val="20"/>
          <w:szCs w:val="20"/>
        </w:rPr>
        <w:t>major findings of the report on university governance.</w:t>
      </w:r>
    </w:p>
    <w:p w:rsidR="00664F8D" w:rsidRPr="00897D97" w:rsidRDefault="00664F8D" w:rsidP="003B1DE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B1DE4" w:rsidRPr="00897D97" w:rsidRDefault="001B705A" w:rsidP="003B1DE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97D97">
        <w:rPr>
          <w:rFonts w:ascii="Arial" w:hAnsi="Arial" w:cs="Arial"/>
          <w:sz w:val="20"/>
          <w:szCs w:val="20"/>
        </w:rPr>
        <w:t xml:space="preserve">he author </w:t>
      </w:r>
      <w:r w:rsidR="003B1DE4" w:rsidRPr="00897D97">
        <w:rPr>
          <w:rFonts w:ascii="Arial" w:hAnsi="Arial" w:cs="Arial"/>
          <w:sz w:val="20"/>
          <w:szCs w:val="20"/>
        </w:rPr>
        <w:t xml:space="preserve">of the </w:t>
      </w:r>
      <w:r w:rsidR="003B1DE4" w:rsidRPr="00897D97">
        <w:rPr>
          <w:rFonts w:ascii="Arial" w:hAnsi="Arial" w:cs="Arial"/>
          <w:b/>
          <w:sz w:val="20"/>
          <w:szCs w:val="20"/>
        </w:rPr>
        <w:t>“Addressing Governance at the Center of Higher Education Reforms in Armenia”</w:t>
      </w:r>
      <w:r w:rsidR="003B1DE4" w:rsidRPr="00897D97">
        <w:rPr>
          <w:rFonts w:ascii="Arial" w:hAnsi="Arial" w:cs="Arial"/>
          <w:sz w:val="20"/>
          <w:szCs w:val="20"/>
        </w:rPr>
        <w:t xml:space="preserve"> </w:t>
      </w:r>
      <w:r w:rsidR="001F5C50" w:rsidRPr="00897D97">
        <w:rPr>
          <w:rFonts w:ascii="Arial" w:hAnsi="Arial" w:cs="Arial"/>
          <w:sz w:val="20"/>
          <w:szCs w:val="20"/>
        </w:rPr>
        <w:t>report</w:t>
      </w:r>
      <w:r w:rsidR="001F5C50">
        <w:rPr>
          <w:rFonts w:ascii="Arial" w:hAnsi="Arial" w:cs="Arial"/>
          <w:sz w:val="20"/>
          <w:szCs w:val="20"/>
        </w:rPr>
        <w:t>,</w:t>
      </w:r>
      <w:r w:rsidR="003B1DE4" w:rsidRPr="00897D97">
        <w:rPr>
          <w:rFonts w:ascii="Arial" w:hAnsi="Arial" w:cs="Arial"/>
          <w:sz w:val="20"/>
          <w:szCs w:val="20"/>
        </w:rPr>
        <w:t xml:space="preserve"> </w:t>
      </w:r>
      <w:r w:rsidR="001F5C50" w:rsidRPr="00897D97">
        <w:rPr>
          <w:rFonts w:ascii="Arial" w:hAnsi="Arial" w:cs="Arial"/>
          <w:sz w:val="20"/>
          <w:szCs w:val="20"/>
        </w:rPr>
        <w:t>through the first step towards an extensive stakeholder consultation series</w:t>
      </w:r>
      <w:r w:rsidR="001F5C50">
        <w:rPr>
          <w:rFonts w:ascii="Arial" w:hAnsi="Arial" w:cs="Arial"/>
          <w:sz w:val="20"/>
          <w:szCs w:val="20"/>
        </w:rPr>
        <w:t>,</w:t>
      </w:r>
      <w:r w:rsidR="001F5C50" w:rsidRPr="00897D97">
        <w:rPr>
          <w:rFonts w:ascii="Arial" w:hAnsi="Arial" w:cs="Arial"/>
          <w:sz w:val="20"/>
          <w:szCs w:val="20"/>
        </w:rPr>
        <w:t xml:space="preserve"> </w:t>
      </w:r>
      <w:r w:rsidR="003B1DE4" w:rsidRPr="00897D97">
        <w:rPr>
          <w:rFonts w:ascii="Arial" w:hAnsi="Arial" w:cs="Arial"/>
          <w:sz w:val="20"/>
          <w:szCs w:val="20"/>
        </w:rPr>
        <w:t>hope to facilitate the explorations of an adequate balance between suitable roles for the government and higher education institutions</w:t>
      </w:r>
      <w:r w:rsidR="00A6779C" w:rsidRPr="00897D97">
        <w:rPr>
          <w:rFonts w:ascii="Arial" w:hAnsi="Arial" w:cs="Arial"/>
          <w:sz w:val="20"/>
          <w:szCs w:val="20"/>
        </w:rPr>
        <w:t xml:space="preserve"> (HEIs)</w:t>
      </w:r>
      <w:r w:rsidR="003B1DE4" w:rsidRPr="00897D97">
        <w:rPr>
          <w:rFonts w:ascii="Arial" w:hAnsi="Arial" w:cs="Arial"/>
          <w:sz w:val="20"/>
          <w:szCs w:val="20"/>
        </w:rPr>
        <w:t xml:space="preserve"> in terms of autonomy and accountability.</w:t>
      </w:r>
    </w:p>
    <w:p w:rsidR="006162C8" w:rsidRPr="00897D97" w:rsidRDefault="006162C8" w:rsidP="003B1DE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664F8D" w:rsidRPr="00897D97" w:rsidRDefault="006162C8" w:rsidP="003B1DE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97D97">
        <w:rPr>
          <w:rFonts w:ascii="Arial" w:hAnsi="Arial" w:cs="Arial"/>
          <w:sz w:val="20"/>
          <w:szCs w:val="20"/>
        </w:rPr>
        <w:t xml:space="preserve">Since joining the Bologna Process in 2005, the Armenian government and </w:t>
      </w:r>
      <w:r w:rsidR="00540627">
        <w:rPr>
          <w:rFonts w:ascii="Arial" w:hAnsi="Arial" w:cs="Arial"/>
          <w:sz w:val="20"/>
          <w:szCs w:val="20"/>
        </w:rPr>
        <w:t>HEIs</w:t>
      </w:r>
      <w:r w:rsidRPr="00897D97">
        <w:rPr>
          <w:rFonts w:ascii="Arial" w:hAnsi="Arial" w:cs="Arial"/>
          <w:sz w:val="20"/>
          <w:szCs w:val="20"/>
        </w:rPr>
        <w:t xml:space="preserve"> have made significant progress in reforming the higher education system. </w:t>
      </w:r>
      <w:r w:rsidR="001B705A">
        <w:rPr>
          <w:rFonts w:ascii="Arial" w:hAnsi="Arial" w:cs="Arial"/>
          <w:sz w:val="20"/>
          <w:szCs w:val="20"/>
        </w:rPr>
        <w:t>However</w:t>
      </w:r>
      <w:r w:rsidRPr="00897D97">
        <w:rPr>
          <w:rFonts w:ascii="Arial" w:hAnsi="Arial" w:cs="Arial"/>
          <w:sz w:val="20"/>
          <w:szCs w:val="20"/>
        </w:rPr>
        <w:t>, the public perception of higher education governance and management s</w:t>
      </w:r>
      <w:r w:rsidR="001B705A">
        <w:rPr>
          <w:rFonts w:ascii="Arial" w:hAnsi="Arial" w:cs="Arial"/>
          <w:sz w:val="20"/>
          <w:szCs w:val="20"/>
        </w:rPr>
        <w:t>till needs</w:t>
      </w:r>
      <w:r w:rsidRPr="00897D97">
        <w:rPr>
          <w:rFonts w:ascii="Arial" w:hAnsi="Arial" w:cs="Arial"/>
          <w:sz w:val="20"/>
          <w:szCs w:val="20"/>
        </w:rPr>
        <w:t xml:space="preserve"> to be improved. Reasons for the poor public perception of higher education governance are primarily embedded in system-wide factors.</w:t>
      </w:r>
    </w:p>
    <w:p w:rsidR="006162C8" w:rsidRPr="00897D97" w:rsidRDefault="006162C8" w:rsidP="00A6779C">
      <w:pPr>
        <w:pStyle w:val="TimesNewRoman"/>
        <w:rPr>
          <w:rFonts w:ascii="Arial" w:hAnsi="Arial" w:cs="Arial"/>
          <w:i/>
          <w:sz w:val="20"/>
          <w:szCs w:val="20"/>
        </w:rPr>
      </w:pPr>
    </w:p>
    <w:p w:rsidR="00A6779C" w:rsidRPr="00897D97" w:rsidRDefault="00664F8D" w:rsidP="00A6779C">
      <w:pPr>
        <w:pStyle w:val="TimesNewRoman"/>
        <w:rPr>
          <w:rFonts w:ascii="Arial" w:eastAsia="MS Mincho" w:hAnsi="Arial" w:cs="Arial"/>
          <w:sz w:val="20"/>
          <w:szCs w:val="20"/>
        </w:rPr>
      </w:pPr>
      <w:r w:rsidRPr="00897D97">
        <w:rPr>
          <w:rFonts w:ascii="Arial" w:hAnsi="Arial" w:cs="Arial"/>
          <w:i/>
          <w:sz w:val="20"/>
          <w:szCs w:val="20"/>
        </w:rPr>
        <w:t>“The World Bank has always been keen on supporting the Government in reforming its education system, specifically highlighting the need for modernization of tertiary education,”</w:t>
      </w:r>
      <w:r w:rsidRPr="00897D97">
        <w:rPr>
          <w:rFonts w:ascii="Arial" w:hAnsi="Arial" w:cs="Arial"/>
          <w:sz w:val="20"/>
          <w:szCs w:val="20"/>
        </w:rPr>
        <w:t xml:space="preserve"> said </w:t>
      </w:r>
      <w:r w:rsidRPr="00897D97">
        <w:rPr>
          <w:rFonts w:ascii="Arial" w:hAnsi="Arial" w:cs="Arial"/>
          <w:b/>
          <w:sz w:val="20"/>
          <w:szCs w:val="20"/>
        </w:rPr>
        <w:t>Jean-Michel Happi, World Bank Country Manager for Armenia</w:t>
      </w:r>
      <w:r w:rsidRPr="00897D97">
        <w:rPr>
          <w:rFonts w:ascii="Arial" w:hAnsi="Arial" w:cs="Arial"/>
          <w:sz w:val="20"/>
          <w:szCs w:val="20"/>
        </w:rPr>
        <w:t xml:space="preserve">. </w:t>
      </w:r>
      <w:r w:rsidRPr="00897D97">
        <w:rPr>
          <w:rFonts w:ascii="Arial" w:hAnsi="Arial" w:cs="Arial"/>
          <w:i/>
          <w:sz w:val="20"/>
          <w:szCs w:val="20"/>
        </w:rPr>
        <w:t>“</w:t>
      </w:r>
      <w:r w:rsidR="00AB14EC" w:rsidRPr="00897D97">
        <w:rPr>
          <w:rFonts w:ascii="Arial" w:hAnsi="Arial" w:cs="Arial"/>
          <w:i/>
          <w:sz w:val="20"/>
          <w:szCs w:val="20"/>
        </w:rPr>
        <w:t>The</w:t>
      </w:r>
      <w:r w:rsidR="00A6779C" w:rsidRPr="00897D97">
        <w:rPr>
          <w:rFonts w:ascii="Arial" w:hAnsi="Arial" w:cs="Arial"/>
          <w:i/>
          <w:sz w:val="20"/>
          <w:szCs w:val="20"/>
        </w:rPr>
        <w:t xml:space="preserve"> government and higher education institutions have made </w:t>
      </w:r>
      <w:r w:rsidR="001B705A">
        <w:rPr>
          <w:rFonts w:ascii="Arial" w:hAnsi="Arial" w:cs="Arial"/>
          <w:i/>
          <w:sz w:val="20"/>
          <w:szCs w:val="20"/>
        </w:rPr>
        <w:t>impressive</w:t>
      </w:r>
      <w:r w:rsidR="00A6779C" w:rsidRPr="00897D97">
        <w:rPr>
          <w:rFonts w:ascii="Arial" w:hAnsi="Arial" w:cs="Arial"/>
          <w:i/>
          <w:sz w:val="20"/>
          <w:szCs w:val="20"/>
        </w:rPr>
        <w:t xml:space="preserve"> progress in reforming the higher education system. </w:t>
      </w:r>
      <w:r w:rsidR="00AB14EC" w:rsidRPr="00897D97">
        <w:rPr>
          <w:rFonts w:ascii="Arial" w:hAnsi="Arial" w:cs="Arial"/>
          <w:i/>
          <w:sz w:val="20"/>
          <w:szCs w:val="20"/>
        </w:rPr>
        <w:t>All the necessary constructs are arranged for a new system to come about. It needs yet another conclusive step to remedy the perception of the public</w:t>
      </w:r>
      <w:r w:rsidR="006162C8" w:rsidRPr="00897D97">
        <w:rPr>
          <w:rFonts w:ascii="Arial" w:hAnsi="Arial" w:cs="Arial"/>
          <w:i/>
          <w:sz w:val="20"/>
          <w:szCs w:val="20"/>
        </w:rPr>
        <w:t>.”</w:t>
      </w:r>
      <w:r w:rsidR="00AB14EC" w:rsidRPr="00897D97">
        <w:rPr>
          <w:rFonts w:ascii="Arial" w:hAnsi="Arial" w:cs="Arial"/>
          <w:i/>
          <w:sz w:val="20"/>
          <w:szCs w:val="20"/>
        </w:rPr>
        <w:t xml:space="preserve"> </w:t>
      </w:r>
    </w:p>
    <w:p w:rsidR="00664F8D" w:rsidRDefault="00664F8D" w:rsidP="00664F8D">
      <w:pPr>
        <w:pStyle w:val="TimesNewRoman"/>
        <w:rPr>
          <w:rFonts w:ascii="Arial" w:hAnsi="Arial" w:cs="Arial"/>
          <w:b/>
          <w:sz w:val="20"/>
          <w:szCs w:val="20"/>
        </w:rPr>
      </w:pPr>
    </w:p>
    <w:p w:rsidR="00A6779C" w:rsidRPr="00897D97" w:rsidRDefault="001F5AE0" w:rsidP="0059696B">
      <w:pPr>
        <w:pStyle w:val="TimesNewRoman"/>
        <w:rPr>
          <w:rFonts w:ascii="Arial" w:hAnsi="Arial" w:cs="Arial"/>
          <w:i/>
          <w:sz w:val="20"/>
          <w:szCs w:val="20"/>
        </w:rPr>
      </w:pPr>
      <w:r w:rsidRPr="00B12418">
        <w:rPr>
          <w:rFonts w:ascii="Arial" w:hAnsi="Arial" w:cs="Arial"/>
          <w:bCs/>
          <w:sz w:val="20"/>
          <w:szCs w:val="20"/>
        </w:rPr>
        <w:t>Recent research has identified that</w:t>
      </w:r>
      <w:r w:rsidRPr="00B12418">
        <w:rPr>
          <w:rFonts w:ascii="Arial" w:hAnsi="Arial" w:cs="Arial"/>
          <w:sz w:val="20"/>
          <w:szCs w:val="20"/>
        </w:rPr>
        <w:t xml:space="preserve"> governance structure and regulatory framework is the key </w:t>
      </w:r>
      <w:r w:rsidRPr="00B12418">
        <w:rPr>
          <w:rFonts w:ascii="Arial" w:eastAsia="MS Mincho" w:hAnsi="Arial" w:cs="Arial"/>
          <w:sz w:val="20"/>
          <w:szCs w:val="20"/>
        </w:rPr>
        <w:t xml:space="preserve">to the development of </w:t>
      </w:r>
      <w:r w:rsidR="002E5920">
        <w:rPr>
          <w:rFonts w:ascii="Arial" w:eastAsia="MS Mincho" w:hAnsi="Arial" w:cs="Arial"/>
          <w:sz w:val="20"/>
          <w:szCs w:val="20"/>
        </w:rPr>
        <w:t>overall higher education system.</w:t>
      </w:r>
      <w:r w:rsidRPr="00897D97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</w:t>
      </w:r>
      <w:r w:rsidR="00FC6DC9" w:rsidRPr="00897D97">
        <w:rPr>
          <w:rFonts w:ascii="Arial" w:hAnsi="Arial" w:cs="Arial"/>
          <w:bCs/>
          <w:sz w:val="20"/>
          <w:szCs w:val="20"/>
        </w:rPr>
        <w:t xml:space="preserve"> strong governance framework and favorable regulatory conditions </w:t>
      </w:r>
      <w:r>
        <w:rPr>
          <w:rFonts w:ascii="Arial" w:hAnsi="Arial" w:cs="Arial"/>
          <w:bCs/>
          <w:sz w:val="20"/>
          <w:szCs w:val="20"/>
        </w:rPr>
        <w:t xml:space="preserve">at the national level </w:t>
      </w:r>
      <w:r w:rsidR="00FC6DC9" w:rsidRPr="00897D97">
        <w:rPr>
          <w:rFonts w:ascii="Arial" w:hAnsi="Arial" w:cs="Arial"/>
          <w:bCs/>
          <w:sz w:val="20"/>
          <w:szCs w:val="20"/>
        </w:rPr>
        <w:t xml:space="preserve">combined with good governance and management at institutional level </w:t>
      </w:r>
      <w:r w:rsidR="001F5C50" w:rsidRPr="00897D97">
        <w:rPr>
          <w:rFonts w:ascii="Arial" w:hAnsi="Arial" w:cs="Arial"/>
          <w:bCs/>
          <w:sz w:val="20"/>
          <w:szCs w:val="20"/>
        </w:rPr>
        <w:t>can enable</w:t>
      </w:r>
      <w:r w:rsidR="00FC6DC9" w:rsidRPr="00897D97">
        <w:rPr>
          <w:rFonts w:ascii="Arial" w:eastAsia="MS Mincho" w:hAnsi="Arial" w:cs="Arial"/>
          <w:sz w:val="20"/>
          <w:szCs w:val="20"/>
        </w:rPr>
        <w:t xml:space="preserve"> HEIs to effectively exercise their autonomy and accountability, </w:t>
      </w:r>
      <w:r>
        <w:rPr>
          <w:rFonts w:ascii="Arial" w:eastAsia="MS Mincho" w:hAnsi="Arial" w:cs="Arial"/>
          <w:sz w:val="20"/>
          <w:szCs w:val="20"/>
        </w:rPr>
        <w:t xml:space="preserve">and </w:t>
      </w:r>
      <w:r w:rsidR="00FC6DC9" w:rsidRPr="00897D97">
        <w:rPr>
          <w:rFonts w:ascii="Arial" w:hAnsi="Arial" w:cs="Arial"/>
          <w:bCs/>
          <w:sz w:val="20"/>
          <w:szCs w:val="20"/>
        </w:rPr>
        <w:t xml:space="preserve">promote innovative behavior among </w:t>
      </w:r>
      <w:r w:rsidR="000935D3">
        <w:rPr>
          <w:rFonts w:ascii="Arial" w:hAnsi="Arial" w:cs="Arial"/>
          <w:bCs/>
          <w:sz w:val="20"/>
          <w:szCs w:val="20"/>
        </w:rPr>
        <w:t>institution</w:t>
      </w:r>
      <w:r w:rsidR="00FC6DC9" w:rsidRPr="00897D97">
        <w:rPr>
          <w:rFonts w:ascii="Arial" w:hAnsi="Arial" w:cs="Arial"/>
          <w:bCs/>
          <w:sz w:val="20"/>
          <w:szCs w:val="20"/>
        </w:rPr>
        <w:t xml:space="preserve">s and </w:t>
      </w:r>
      <w:r w:rsidR="00FC6DC9" w:rsidRPr="00897D97">
        <w:rPr>
          <w:rFonts w:ascii="Arial" w:hAnsi="Arial" w:cs="Arial"/>
          <w:sz w:val="20"/>
          <w:szCs w:val="20"/>
        </w:rPr>
        <w:t xml:space="preserve">effectively </w:t>
      </w:r>
      <w:r w:rsidR="001F5C50" w:rsidRPr="00897D97">
        <w:rPr>
          <w:rFonts w:ascii="Arial" w:hAnsi="Arial" w:cs="Arial"/>
          <w:sz w:val="20"/>
          <w:szCs w:val="20"/>
        </w:rPr>
        <w:t>accomplish educational</w:t>
      </w:r>
      <w:r w:rsidR="00FC6DC9" w:rsidRPr="00897D97">
        <w:rPr>
          <w:rFonts w:ascii="Arial" w:hAnsi="Arial" w:cs="Arial"/>
          <w:sz w:val="20"/>
          <w:szCs w:val="20"/>
        </w:rPr>
        <w:t xml:space="preserve"> and other purposes</w:t>
      </w:r>
      <w:r w:rsidR="00FC6DC9" w:rsidRPr="00897D97">
        <w:rPr>
          <w:rFonts w:ascii="Arial" w:eastAsia="MS Mincho" w:hAnsi="Arial" w:cs="Arial"/>
          <w:sz w:val="20"/>
          <w:szCs w:val="20"/>
        </w:rPr>
        <w:t xml:space="preserve"> </w:t>
      </w:r>
      <w:r w:rsidR="00FC6DC9" w:rsidRPr="00897D97">
        <w:rPr>
          <w:rFonts w:ascii="Arial" w:eastAsia="MS Mincho" w:hAnsi="Arial" w:cs="Arial"/>
          <w:i/>
          <w:sz w:val="20"/>
          <w:szCs w:val="20"/>
        </w:rPr>
        <w:t>“</w:t>
      </w:r>
      <w:r w:rsidR="00664F8D" w:rsidRPr="00897D97">
        <w:rPr>
          <w:rFonts w:ascii="Arial" w:hAnsi="Arial" w:cs="Arial"/>
          <w:i/>
          <w:sz w:val="20"/>
          <w:szCs w:val="20"/>
        </w:rPr>
        <w:t>Autonomy needs to be balanced with accountability</w:t>
      </w:r>
      <w:r w:rsidR="00FC6DC9" w:rsidRPr="00897D97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Good governance is all about ensuring ethical decision-making and efficient provision of human, material</w:t>
      </w:r>
      <w:r w:rsidR="005C5C5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financial resources for students’ successful learning and overall institutional performance,</w:t>
      </w:r>
      <w:r w:rsidR="00664F8D" w:rsidRPr="00897D97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7D97">
        <w:rPr>
          <w:rFonts w:ascii="Arial" w:eastAsia="MS Mincho" w:hAnsi="Arial" w:cs="Arial"/>
          <w:sz w:val="20"/>
          <w:szCs w:val="20"/>
        </w:rPr>
        <w:t>said</w:t>
      </w:r>
      <w:r w:rsidRPr="00897D97">
        <w:rPr>
          <w:rFonts w:ascii="Arial" w:eastAsia="MS Mincho" w:hAnsi="Arial" w:cs="Arial"/>
          <w:b/>
          <w:sz w:val="20"/>
          <w:szCs w:val="20"/>
        </w:rPr>
        <w:t xml:space="preserve"> Sachiko </w:t>
      </w:r>
      <w:proofErr w:type="spellStart"/>
      <w:r w:rsidRPr="00897D97">
        <w:rPr>
          <w:rFonts w:ascii="Arial" w:eastAsia="MS Mincho" w:hAnsi="Arial" w:cs="Arial"/>
          <w:b/>
          <w:sz w:val="20"/>
          <w:szCs w:val="20"/>
        </w:rPr>
        <w:t>Kataoka</w:t>
      </w:r>
      <w:proofErr w:type="spellEnd"/>
      <w:r w:rsidRPr="00897D97">
        <w:rPr>
          <w:rFonts w:ascii="Arial" w:eastAsia="MS Mincho" w:hAnsi="Arial" w:cs="Arial"/>
          <w:b/>
          <w:sz w:val="20"/>
          <w:szCs w:val="20"/>
        </w:rPr>
        <w:t xml:space="preserve">, </w:t>
      </w:r>
      <w:r w:rsidR="002E5920">
        <w:rPr>
          <w:rFonts w:ascii="Arial" w:eastAsia="MS Mincho" w:hAnsi="Arial" w:cs="Arial"/>
          <w:b/>
          <w:sz w:val="20"/>
          <w:szCs w:val="20"/>
        </w:rPr>
        <w:t xml:space="preserve">Lead </w:t>
      </w:r>
      <w:r w:rsidRPr="00897D97">
        <w:rPr>
          <w:rFonts w:ascii="Arial" w:eastAsia="MS Mincho" w:hAnsi="Arial" w:cs="Arial"/>
          <w:b/>
          <w:sz w:val="20"/>
          <w:szCs w:val="20"/>
        </w:rPr>
        <w:t>Author of the Report.</w:t>
      </w:r>
      <w:r w:rsidR="00664F8D" w:rsidRPr="00897D97">
        <w:rPr>
          <w:rFonts w:ascii="Arial" w:hAnsi="Arial" w:cs="Arial"/>
          <w:i/>
          <w:sz w:val="20"/>
          <w:szCs w:val="20"/>
        </w:rPr>
        <w:t xml:space="preserve"> </w:t>
      </w:r>
    </w:p>
    <w:p w:rsidR="001F5AE0" w:rsidRPr="00897D97" w:rsidRDefault="001F5AE0" w:rsidP="0059696B">
      <w:pPr>
        <w:pStyle w:val="TimesNewRoman"/>
        <w:rPr>
          <w:rFonts w:ascii="Arial" w:hAnsi="Arial" w:cs="Arial"/>
          <w:sz w:val="20"/>
          <w:szCs w:val="20"/>
        </w:rPr>
      </w:pPr>
    </w:p>
    <w:p w:rsidR="000935D3" w:rsidRDefault="005C5C57" w:rsidP="0059696B">
      <w:pPr>
        <w:pStyle w:val="TimesNewRoman"/>
        <w:rPr>
          <w:rFonts w:ascii="Arial" w:hAnsi="Arial" w:cs="Arial"/>
          <w:sz w:val="20"/>
          <w:szCs w:val="20"/>
        </w:rPr>
      </w:pPr>
      <w:r w:rsidRPr="00897D97">
        <w:rPr>
          <w:rFonts w:ascii="Arial" w:eastAsia="MS Mincho" w:hAnsi="Arial" w:cs="Arial"/>
          <w:sz w:val="20"/>
          <w:szCs w:val="20"/>
        </w:rPr>
        <w:t xml:space="preserve">The </w:t>
      </w:r>
      <w:r w:rsidR="002E5920" w:rsidRPr="00897D97">
        <w:rPr>
          <w:rFonts w:ascii="Arial" w:eastAsia="MS Mincho" w:hAnsi="Arial" w:cs="Arial"/>
          <w:sz w:val="20"/>
          <w:szCs w:val="20"/>
        </w:rPr>
        <w:t>findings elucidated by the author of the report suggest</w:t>
      </w:r>
      <w:r w:rsidRPr="00897D97">
        <w:rPr>
          <w:rFonts w:ascii="Arial" w:eastAsia="MS Mincho" w:hAnsi="Arial" w:cs="Arial"/>
          <w:sz w:val="20"/>
          <w:szCs w:val="20"/>
        </w:rPr>
        <w:t xml:space="preserve"> that the </w:t>
      </w:r>
      <w:r w:rsidRPr="00897D97">
        <w:rPr>
          <w:rFonts w:ascii="Arial" w:hAnsi="Arial" w:cs="Arial"/>
          <w:sz w:val="20"/>
          <w:szCs w:val="20"/>
        </w:rPr>
        <w:t xml:space="preserve">underperformance of the higher education system is associated with </w:t>
      </w:r>
      <w:r>
        <w:rPr>
          <w:rFonts w:ascii="Arial" w:hAnsi="Arial" w:cs="Arial"/>
          <w:sz w:val="20"/>
          <w:szCs w:val="20"/>
        </w:rPr>
        <w:t xml:space="preserve">the incoherent </w:t>
      </w:r>
      <w:r w:rsidRPr="00897D97">
        <w:rPr>
          <w:rFonts w:ascii="Arial" w:hAnsi="Arial" w:cs="Arial"/>
          <w:sz w:val="20"/>
          <w:szCs w:val="20"/>
        </w:rPr>
        <w:t>legal framework</w:t>
      </w:r>
      <w:r>
        <w:rPr>
          <w:rFonts w:ascii="Arial" w:hAnsi="Arial" w:cs="Arial"/>
          <w:sz w:val="20"/>
          <w:szCs w:val="20"/>
        </w:rPr>
        <w:t xml:space="preserve"> and the weak capacity to effectively exercise autonomy and accountability</w:t>
      </w:r>
      <w:r w:rsidRPr="00897D97">
        <w:rPr>
          <w:rFonts w:ascii="Arial" w:hAnsi="Arial" w:cs="Arial"/>
          <w:sz w:val="20"/>
          <w:szCs w:val="20"/>
        </w:rPr>
        <w:t xml:space="preserve">. </w:t>
      </w:r>
      <w:r w:rsidR="00664F8D" w:rsidRPr="00897D97">
        <w:rPr>
          <w:rFonts w:ascii="Arial" w:eastAsia="MS Mincho" w:hAnsi="Arial" w:cs="Arial"/>
          <w:sz w:val="20"/>
          <w:szCs w:val="20"/>
        </w:rPr>
        <w:t xml:space="preserve">To maximize the benefits of various on-going reforms and further develop higher education, </w:t>
      </w:r>
      <w:r w:rsidR="00FC6DC9" w:rsidRPr="00897D97">
        <w:rPr>
          <w:rFonts w:ascii="Arial" w:eastAsia="MS Mincho" w:hAnsi="Arial" w:cs="Arial"/>
          <w:sz w:val="20"/>
          <w:szCs w:val="20"/>
        </w:rPr>
        <w:t xml:space="preserve">the expert team of the World Bank, suggests </w:t>
      </w:r>
      <w:r w:rsidR="00664F8D" w:rsidRPr="00897D97">
        <w:rPr>
          <w:rFonts w:ascii="Arial" w:eastAsia="MS Mincho" w:hAnsi="Arial" w:cs="Arial"/>
          <w:sz w:val="20"/>
          <w:szCs w:val="20"/>
        </w:rPr>
        <w:t xml:space="preserve">the government </w:t>
      </w:r>
      <w:r w:rsidR="00FC6DC9" w:rsidRPr="00897D97">
        <w:rPr>
          <w:rFonts w:ascii="Arial" w:eastAsia="MS Mincho" w:hAnsi="Arial" w:cs="Arial"/>
          <w:sz w:val="20"/>
          <w:szCs w:val="20"/>
        </w:rPr>
        <w:t>together with</w:t>
      </w:r>
      <w:r w:rsidR="00664F8D" w:rsidRPr="00897D97">
        <w:rPr>
          <w:rFonts w:ascii="Arial" w:eastAsia="MS Mincho" w:hAnsi="Arial" w:cs="Arial"/>
          <w:sz w:val="20"/>
          <w:szCs w:val="20"/>
        </w:rPr>
        <w:t xml:space="preserve"> </w:t>
      </w:r>
      <w:r w:rsidR="00BD60AC">
        <w:rPr>
          <w:rFonts w:ascii="Arial" w:eastAsia="MS Mincho" w:hAnsi="Arial" w:cs="Arial"/>
          <w:sz w:val="20"/>
          <w:szCs w:val="20"/>
        </w:rPr>
        <w:t>HEIs</w:t>
      </w:r>
      <w:r w:rsidR="00FC6DC9" w:rsidRPr="00897D97">
        <w:rPr>
          <w:rFonts w:ascii="Arial" w:eastAsia="MS Mincho" w:hAnsi="Arial" w:cs="Arial"/>
          <w:sz w:val="20"/>
          <w:szCs w:val="20"/>
        </w:rPr>
        <w:t xml:space="preserve"> </w:t>
      </w:r>
      <w:r w:rsidR="00664F8D" w:rsidRPr="00897D97">
        <w:rPr>
          <w:rFonts w:ascii="Arial" w:eastAsia="MS Mincho" w:hAnsi="Arial" w:cs="Arial"/>
          <w:sz w:val="20"/>
          <w:szCs w:val="20"/>
        </w:rPr>
        <w:t xml:space="preserve">to place university governance and management at the heart of system-wide higher education reforms. </w:t>
      </w:r>
    </w:p>
    <w:p w:rsidR="006164E3" w:rsidRDefault="006164E3" w:rsidP="0059696B">
      <w:pPr>
        <w:pStyle w:val="TimesNewRoman"/>
        <w:rPr>
          <w:rFonts w:ascii="Arial" w:eastAsia="MS Mincho" w:hAnsi="Arial" w:cs="Arial"/>
          <w:sz w:val="20"/>
          <w:szCs w:val="20"/>
        </w:rPr>
      </w:pPr>
    </w:p>
    <w:p w:rsidR="00664F8D" w:rsidRPr="00897D97" w:rsidRDefault="00664F8D" w:rsidP="0059696B">
      <w:pPr>
        <w:pStyle w:val="TimesNewRoman"/>
        <w:rPr>
          <w:rFonts w:ascii="Arial" w:eastAsia="MS Mincho" w:hAnsi="Arial" w:cs="Arial"/>
          <w:sz w:val="20"/>
          <w:szCs w:val="20"/>
        </w:rPr>
      </w:pPr>
      <w:r w:rsidRPr="00897D97">
        <w:rPr>
          <w:rFonts w:ascii="Arial" w:eastAsia="MS Mincho" w:hAnsi="Arial" w:cs="Arial"/>
          <w:sz w:val="20"/>
          <w:szCs w:val="20"/>
        </w:rPr>
        <w:t xml:space="preserve">Hence, </w:t>
      </w:r>
      <w:r w:rsidR="00897D97" w:rsidRPr="00897D97">
        <w:rPr>
          <w:rFonts w:ascii="Arial" w:eastAsia="MS Mincho" w:hAnsi="Arial" w:cs="Arial"/>
          <w:sz w:val="20"/>
          <w:szCs w:val="20"/>
        </w:rPr>
        <w:t>the author call</w:t>
      </w:r>
      <w:r w:rsidR="002E5920">
        <w:rPr>
          <w:rFonts w:ascii="Arial" w:eastAsia="MS Mincho" w:hAnsi="Arial" w:cs="Arial"/>
          <w:sz w:val="20"/>
          <w:szCs w:val="20"/>
        </w:rPr>
        <w:t>s</w:t>
      </w:r>
      <w:r w:rsidR="00897D97" w:rsidRPr="00897D97">
        <w:rPr>
          <w:rFonts w:ascii="Arial" w:eastAsia="MS Mincho" w:hAnsi="Arial" w:cs="Arial"/>
          <w:sz w:val="20"/>
          <w:szCs w:val="20"/>
        </w:rPr>
        <w:t xml:space="preserve"> for</w:t>
      </w:r>
      <w:r w:rsidRPr="00897D97">
        <w:rPr>
          <w:rFonts w:ascii="Arial" w:eastAsia="MS Mincho" w:hAnsi="Arial" w:cs="Arial"/>
          <w:sz w:val="20"/>
          <w:szCs w:val="20"/>
        </w:rPr>
        <w:t xml:space="preserve"> a need to develop a strong governance framework as well as leadership and management skills among university and systems leaders who would be responsible for any reforms to be successfully implemented in a sustainable manner. </w:t>
      </w:r>
    </w:p>
    <w:p w:rsidR="00897D97" w:rsidRPr="00897D97" w:rsidRDefault="00897D97" w:rsidP="0059696B">
      <w:pPr>
        <w:pStyle w:val="TimesNewRoman"/>
        <w:rPr>
          <w:rFonts w:ascii="Arial" w:eastAsia="MS Mincho" w:hAnsi="Arial" w:cs="Arial"/>
          <w:sz w:val="20"/>
          <w:szCs w:val="20"/>
        </w:rPr>
      </w:pPr>
    </w:p>
    <w:p w:rsidR="00897D97" w:rsidRDefault="00C20F9F" w:rsidP="0059696B">
      <w:pPr>
        <w:pStyle w:val="TimesNewRoman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</w:t>
      </w:r>
      <w:r w:rsidR="00897D97" w:rsidRPr="00897D97">
        <w:rPr>
          <w:rFonts w:ascii="Arial" w:eastAsia="MS Mincho" w:hAnsi="Arial" w:cs="Arial"/>
          <w:sz w:val="20"/>
          <w:szCs w:val="20"/>
        </w:rPr>
        <w:t>ther key recommendations substantiated in the report and planned to be discussed during the conference are as follows:</w:t>
      </w:r>
    </w:p>
    <w:p w:rsidR="009627FE" w:rsidRDefault="009627FE" w:rsidP="0059696B">
      <w:pPr>
        <w:pStyle w:val="TimesNewRoman"/>
        <w:rPr>
          <w:rFonts w:ascii="Arial" w:eastAsia="MS Mincho" w:hAnsi="Arial" w:cs="Arial"/>
          <w:sz w:val="20"/>
          <w:szCs w:val="20"/>
        </w:rPr>
      </w:pPr>
    </w:p>
    <w:p w:rsidR="009627FE" w:rsidRPr="00EB35E5" w:rsidRDefault="00100CAD" w:rsidP="0059696B">
      <w:pPr>
        <w:pStyle w:val="TimesNewRoman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</w:t>
      </w:r>
      <w:r w:rsidR="009627FE" w:rsidRPr="00EB3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diversified, cohesive tertiary education system by integrating</w:t>
      </w:r>
      <w:r w:rsidR="009627FE" w:rsidRPr="00EB35E5">
        <w:rPr>
          <w:rFonts w:ascii="Arial" w:hAnsi="Arial" w:cs="Arial"/>
          <w:sz w:val="20"/>
          <w:szCs w:val="20"/>
        </w:rPr>
        <w:t xml:space="preserve"> university and non-university tertiary education (</w:t>
      </w:r>
      <w:r w:rsidR="009627FE" w:rsidRPr="00EB35E5">
        <w:rPr>
          <w:rFonts w:ascii="Arial" w:hAnsi="Arial" w:cs="Arial"/>
          <w:i/>
          <w:sz w:val="20"/>
          <w:szCs w:val="20"/>
        </w:rPr>
        <w:t>i.e.,</w:t>
      </w:r>
      <w:r w:rsidR="009627FE" w:rsidRPr="00EB35E5">
        <w:rPr>
          <w:rFonts w:ascii="Arial" w:hAnsi="Arial" w:cs="Arial"/>
          <w:sz w:val="20"/>
          <w:szCs w:val="20"/>
        </w:rPr>
        <w:t xml:space="preserve"> vocational and technical colleges), </w:t>
      </w:r>
      <w:r>
        <w:rPr>
          <w:rFonts w:ascii="Arial" w:hAnsi="Arial" w:cs="Arial"/>
          <w:sz w:val="20"/>
          <w:szCs w:val="20"/>
        </w:rPr>
        <w:t>as well as higher education and research</w:t>
      </w:r>
      <w:r w:rsidR="009627FE" w:rsidRPr="00EB35E5">
        <w:rPr>
          <w:rFonts w:ascii="Arial" w:hAnsi="Arial" w:cs="Arial"/>
          <w:sz w:val="20"/>
          <w:szCs w:val="20"/>
        </w:rPr>
        <w:t>;</w:t>
      </w:r>
    </w:p>
    <w:p w:rsidR="009627FE" w:rsidRPr="00EB35E5" w:rsidRDefault="009627FE" w:rsidP="0059696B">
      <w:pPr>
        <w:pStyle w:val="TimesNewRoman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B35E5">
        <w:rPr>
          <w:rFonts w:ascii="Arial" w:hAnsi="Arial" w:cs="Arial"/>
          <w:sz w:val="20"/>
          <w:szCs w:val="20"/>
        </w:rPr>
        <w:t xml:space="preserve">Continue </w:t>
      </w:r>
      <w:r w:rsidR="00EB35E5" w:rsidRPr="00EB35E5">
        <w:rPr>
          <w:rFonts w:ascii="Arial" w:hAnsi="Arial" w:cs="Arial"/>
          <w:sz w:val="20"/>
          <w:szCs w:val="20"/>
        </w:rPr>
        <w:t>strengthening the quality assurance system by further supporting</w:t>
      </w:r>
      <w:r w:rsidRPr="00EB35E5">
        <w:rPr>
          <w:rFonts w:ascii="Arial" w:hAnsi="Arial" w:cs="Arial"/>
          <w:sz w:val="20"/>
          <w:szCs w:val="20"/>
        </w:rPr>
        <w:t xml:space="preserve"> the National Center for Professional Education Quality Assurance (ANQA)</w:t>
      </w:r>
      <w:r w:rsidR="00EB35E5" w:rsidRPr="00EB35E5">
        <w:rPr>
          <w:rFonts w:ascii="Arial" w:hAnsi="Arial" w:cs="Arial"/>
          <w:sz w:val="20"/>
          <w:szCs w:val="20"/>
        </w:rPr>
        <w:t>, shifting from state educational standards to learning outcome based quality management at institutional level, developing monitoring and evaluation mechanisms and linking the outcomes to labor market;</w:t>
      </w:r>
    </w:p>
    <w:p w:rsidR="00EB35E5" w:rsidRDefault="00100CAD" w:rsidP="0059696B">
      <w:pPr>
        <w:pStyle w:val="TimesNewRoman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</w:t>
      </w:r>
      <w:r w:rsidR="00EB35E5">
        <w:rPr>
          <w:rFonts w:ascii="Arial" w:hAnsi="Arial" w:cs="Arial"/>
          <w:sz w:val="20"/>
          <w:szCs w:val="20"/>
        </w:rPr>
        <w:t xml:space="preserve"> the already initiated comprehensive reform of higher education financing, mobilizing both public and private funding;</w:t>
      </w:r>
    </w:p>
    <w:p w:rsidR="00EB35E5" w:rsidRPr="00EB35E5" w:rsidRDefault="00C20F9F" w:rsidP="0059696B">
      <w:pPr>
        <w:pStyle w:val="TimesNewRoman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system-wide and</w:t>
      </w:r>
      <w:r w:rsidR="00EB35E5">
        <w:rPr>
          <w:rFonts w:ascii="Arial" w:hAnsi="Arial" w:cs="Arial"/>
          <w:sz w:val="20"/>
          <w:szCs w:val="20"/>
        </w:rPr>
        <w:t xml:space="preserve"> institutional capacity fo</w:t>
      </w:r>
      <w:bookmarkStart w:id="0" w:name="_GoBack"/>
      <w:bookmarkEnd w:id="0"/>
      <w:r w:rsidR="00EB35E5">
        <w:rPr>
          <w:rFonts w:ascii="Arial" w:hAnsi="Arial" w:cs="Arial"/>
          <w:sz w:val="20"/>
          <w:szCs w:val="20"/>
        </w:rPr>
        <w:t>r policy-making in order to balance the functions of autonomy and accountability.</w:t>
      </w:r>
    </w:p>
    <w:p w:rsidR="00664F8D" w:rsidRPr="00EB35E5" w:rsidRDefault="00664F8D" w:rsidP="0059696B">
      <w:pPr>
        <w:pStyle w:val="TimesNewRoman"/>
        <w:rPr>
          <w:rFonts w:ascii="Arial" w:hAnsi="Arial" w:cs="Arial"/>
          <w:sz w:val="20"/>
          <w:szCs w:val="20"/>
        </w:rPr>
      </w:pPr>
    </w:p>
    <w:p w:rsidR="001341FE" w:rsidRPr="0059696B" w:rsidRDefault="0059696B" w:rsidP="0059696B">
      <w:pPr>
        <w:jc w:val="both"/>
        <w:rPr>
          <w:rFonts w:ascii="Arial" w:hAnsi="Arial" w:cs="Arial"/>
          <w:sz w:val="20"/>
          <w:szCs w:val="20"/>
        </w:rPr>
      </w:pPr>
      <w:r w:rsidRPr="0059696B">
        <w:rPr>
          <w:rFonts w:ascii="Arial" w:hAnsi="Arial" w:cs="Arial"/>
          <w:sz w:val="20"/>
          <w:szCs w:val="20"/>
        </w:rPr>
        <w:t>It is expected that the conference will help initiate the discussion and brainstorming around the highlighted recommendations to outline possible scenarios for finding the suitable</w:t>
      </w:r>
      <w:r w:rsidR="00575600">
        <w:rPr>
          <w:rFonts w:ascii="Arial" w:hAnsi="Arial" w:cs="Arial"/>
          <w:sz w:val="20"/>
          <w:szCs w:val="20"/>
        </w:rPr>
        <w:t xml:space="preserve"> balance between the </w:t>
      </w:r>
      <w:r w:rsidRPr="0059696B">
        <w:rPr>
          <w:rFonts w:ascii="Arial" w:hAnsi="Arial" w:cs="Arial"/>
          <w:sz w:val="20"/>
          <w:szCs w:val="20"/>
        </w:rPr>
        <w:t>autonomy and accountability of HEIs in the contexts of the bigger agenda set by the Bologna Process and internationalization of higher education</w:t>
      </w:r>
      <w:r w:rsidR="000935D3">
        <w:rPr>
          <w:rFonts w:ascii="Arial" w:hAnsi="Arial" w:cs="Arial"/>
          <w:sz w:val="20"/>
          <w:szCs w:val="20"/>
        </w:rPr>
        <w:t xml:space="preserve"> in Armenia</w:t>
      </w:r>
      <w:r w:rsidRPr="0059696B">
        <w:rPr>
          <w:rFonts w:ascii="Arial" w:hAnsi="Arial" w:cs="Arial"/>
          <w:sz w:val="20"/>
          <w:szCs w:val="20"/>
        </w:rPr>
        <w:t xml:space="preserve">. </w:t>
      </w:r>
    </w:p>
    <w:p w:rsidR="00A20F2C" w:rsidRPr="00A20F2C" w:rsidRDefault="00A20F2C" w:rsidP="0059696B">
      <w:pPr>
        <w:ind w:right="-72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20F2C" w:rsidRPr="00A20F2C" w:rsidRDefault="00A20F2C" w:rsidP="0059696B">
      <w:pPr>
        <w:ind w:right="-72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9696B" w:rsidRPr="00973CF3" w:rsidRDefault="0059696B" w:rsidP="0059696B">
      <w:pPr>
        <w:ind w:right="-72"/>
        <w:rPr>
          <w:rFonts w:ascii="Arial" w:hAnsi="Arial" w:cs="Arial"/>
          <w:b/>
          <w:color w:val="000000"/>
          <w:sz w:val="20"/>
          <w:szCs w:val="20"/>
        </w:rPr>
      </w:pPr>
      <w:r w:rsidRPr="00973CF3">
        <w:rPr>
          <w:rFonts w:ascii="Arial" w:hAnsi="Arial" w:cs="Arial"/>
          <w:b/>
          <w:color w:val="000000"/>
          <w:sz w:val="20"/>
          <w:szCs w:val="20"/>
        </w:rPr>
        <w:t xml:space="preserve">News Release </w:t>
      </w:r>
    </w:p>
    <w:p w:rsidR="0059696B" w:rsidRPr="00A31F34" w:rsidRDefault="0059696B" w:rsidP="0059696B">
      <w:pPr>
        <w:rPr>
          <w:rFonts w:ascii="Arial" w:hAnsi="Arial" w:cs="Arial"/>
        </w:rPr>
      </w:pPr>
      <w:r w:rsidRPr="00A31F34">
        <w:rPr>
          <w:rFonts w:ascii="Arial" w:hAnsi="Arial" w:cs="Arial"/>
          <w:color w:val="000000"/>
          <w:sz w:val="20"/>
          <w:szCs w:val="20"/>
        </w:rPr>
        <w:t>2013/</w:t>
      </w:r>
      <w:r w:rsidR="00A31F34" w:rsidRPr="00A31F34">
        <w:rPr>
          <w:rStyle w:val="Normal"/>
          <w:rFonts w:ascii="Arial" w:hAnsi="Arial" w:cs="Arial"/>
          <w:color w:val="000000"/>
          <w:sz w:val="20"/>
          <w:szCs w:val="20"/>
        </w:rPr>
        <w:t xml:space="preserve"> </w:t>
      </w:r>
      <w:r w:rsidR="00A31F34" w:rsidRPr="00A31F34">
        <w:rPr>
          <w:rStyle w:val="Normal"/>
          <w:rFonts w:ascii="Arial" w:hAnsi="Arial" w:cs="Arial"/>
          <w:color w:val="000000"/>
          <w:sz w:val="20"/>
          <w:szCs w:val="20"/>
        </w:rPr>
        <w:t>WB-94/13</w:t>
      </w:r>
      <w:r w:rsidRPr="00A31F34">
        <w:rPr>
          <w:rFonts w:ascii="Arial" w:hAnsi="Arial" w:cs="Arial"/>
          <w:color w:val="000000"/>
          <w:sz w:val="20"/>
          <w:szCs w:val="20"/>
        </w:rPr>
        <w:t>/</w:t>
      </w:r>
      <w:r w:rsidR="009179D7" w:rsidRPr="00A31F34">
        <w:rPr>
          <w:rFonts w:ascii="Arial" w:hAnsi="Arial" w:cs="Arial"/>
          <w:color w:val="000000"/>
          <w:sz w:val="20"/>
          <w:szCs w:val="20"/>
        </w:rPr>
        <w:t>ARMENIA</w:t>
      </w:r>
    </w:p>
    <w:p w:rsidR="00A20F2C" w:rsidRPr="00A20F2C" w:rsidRDefault="00A20F2C" w:rsidP="00A20F2C">
      <w:pPr>
        <w:ind w:right="-7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0F2C" w:rsidRPr="00A20F2C" w:rsidRDefault="00A20F2C" w:rsidP="00A20F2C">
      <w:pPr>
        <w:ind w:right="-72"/>
        <w:rPr>
          <w:rFonts w:ascii="Arial" w:hAnsi="Arial" w:cs="Arial"/>
          <w:color w:val="000000"/>
          <w:sz w:val="20"/>
          <w:szCs w:val="20"/>
        </w:rPr>
      </w:pPr>
      <w:r w:rsidRPr="00A20F2C">
        <w:rPr>
          <w:rFonts w:ascii="Arial" w:hAnsi="Arial" w:cs="Arial"/>
          <w:b/>
          <w:bCs/>
          <w:color w:val="000000"/>
          <w:sz w:val="20"/>
          <w:szCs w:val="20"/>
        </w:rPr>
        <w:t>Contacts:</w:t>
      </w:r>
      <w:r w:rsidRPr="00A20F2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0F2C" w:rsidRPr="00A20F2C" w:rsidRDefault="003F3C35" w:rsidP="00A20F2C">
      <w:pPr>
        <w:ind w:right="-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Yerevan</w:t>
      </w:r>
      <w:r w:rsidR="00A20F2C" w:rsidRPr="00A20F2C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Nvard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Manasian</w:t>
      </w:r>
      <w:proofErr w:type="spellEnd"/>
      <w:r w:rsidR="00A20F2C" w:rsidRPr="00A20F2C">
        <w:rPr>
          <w:rFonts w:ascii="Arial" w:hAnsi="Arial" w:cs="Arial"/>
          <w:color w:val="000000"/>
          <w:sz w:val="20"/>
          <w:szCs w:val="20"/>
        </w:rPr>
        <w:t>, (</w:t>
      </w:r>
      <w:r>
        <w:rPr>
          <w:rFonts w:ascii="Arial" w:hAnsi="Arial" w:cs="Arial"/>
          <w:color w:val="000000"/>
          <w:sz w:val="20"/>
          <w:szCs w:val="20"/>
        </w:rPr>
        <w:t>374 10</w:t>
      </w:r>
      <w:r w:rsidR="00A20F2C" w:rsidRPr="00A20F2C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52 09 92</w:t>
      </w:r>
      <w:r w:rsidR="00A20F2C" w:rsidRPr="00A20F2C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 w:rsidRPr="003F3C35">
          <w:rPr>
            <w:rStyle w:val="Hyperlink"/>
            <w:rFonts w:ascii="Arial" w:hAnsi="Arial" w:cs="Arial"/>
            <w:sz w:val="20"/>
            <w:szCs w:val="20"/>
          </w:rPr>
          <w:t>nmanasian@worldbank.org</w:t>
        </w:r>
      </w:hyperlink>
      <w:r w:rsidR="00A20F2C" w:rsidRPr="00A20F2C">
        <w:rPr>
          <w:rFonts w:ascii="Arial" w:hAnsi="Arial" w:cs="Arial"/>
          <w:color w:val="000000"/>
          <w:sz w:val="20"/>
          <w:szCs w:val="20"/>
        </w:rPr>
        <w:t>;</w:t>
      </w:r>
      <w:r w:rsidR="00A20F2C" w:rsidRPr="00A20F2C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A20F2C" w:rsidRPr="00A20F2C" w:rsidRDefault="00A20F2C" w:rsidP="00A20F2C">
      <w:pPr>
        <w:ind w:right="-72"/>
        <w:rPr>
          <w:rFonts w:ascii="Arial" w:hAnsi="Arial" w:cs="Arial"/>
          <w:iCs/>
          <w:color w:val="000000"/>
          <w:sz w:val="20"/>
          <w:szCs w:val="20"/>
        </w:rPr>
      </w:pPr>
    </w:p>
    <w:p w:rsidR="0059696B" w:rsidRPr="00973CF3" w:rsidRDefault="0059696B" w:rsidP="0059696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73CF3">
        <w:rPr>
          <w:rFonts w:ascii="Arial" w:hAnsi="Arial" w:cs="Arial"/>
          <w:color w:val="000000"/>
          <w:sz w:val="20"/>
          <w:szCs w:val="20"/>
        </w:rPr>
        <w:t>For more information on the World Bank’s activities in Armenia, please visit</w:t>
      </w:r>
      <w:proofErr w:type="gramStart"/>
      <w:r w:rsidRPr="00973CF3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973CF3">
        <w:rPr>
          <w:rFonts w:ascii="Arial" w:hAnsi="Arial" w:cs="Arial"/>
          <w:color w:val="000000"/>
          <w:sz w:val="20"/>
          <w:szCs w:val="20"/>
        </w:rPr>
        <w:br/>
      </w:r>
      <w:hyperlink r:id="rId11" w:history="1">
        <w:r w:rsidRPr="00D6649B">
          <w:rPr>
            <w:rStyle w:val="Hyperlink"/>
            <w:rFonts w:ascii="Arial" w:hAnsi="Arial" w:cs="Arial"/>
            <w:sz w:val="20"/>
            <w:szCs w:val="20"/>
          </w:rPr>
          <w:t>http://www.worldbank.org.am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9696B" w:rsidRDefault="0059696B" w:rsidP="0059696B">
      <w:pPr>
        <w:ind w:right="-72"/>
        <w:rPr>
          <w:rFonts w:ascii="Arial" w:hAnsi="Arial" w:cs="Arial"/>
          <w:b/>
          <w:color w:val="000000"/>
          <w:sz w:val="20"/>
          <w:szCs w:val="20"/>
        </w:rPr>
      </w:pPr>
    </w:p>
    <w:p w:rsidR="0059696B" w:rsidRDefault="0059696B" w:rsidP="0059696B">
      <w:pPr>
        <w:ind w:right="-72"/>
        <w:rPr>
          <w:rFonts w:ascii="Arial" w:hAnsi="Arial" w:cs="Arial"/>
          <w:b/>
          <w:color w:val="000000"/>
          <w:sz w:val="20"/>
          <w:szCs w:val="20"/>
        </w:rPr>
      </w:pPr>
    </w:p>
    <w:p w:rsidR="0059696B" w:rsidRPr="00973CF3" w:rsidRDefault="0059696B" w:rsidP="0059696B">
      <w:pPr>
        <w:pStyle w:val="ListParagraph"/>
        <w:tabs>
          <w:tab w:val="left" w:pos="720"/>
        </w:tabs>
        <w:ind w:left="0"/>
        <w:jc w:val="both"/>
        <w:rPr>
          <w:sz w:val="20"/>
          <w:szCs w:val="20"/>
        </w:rPr>
      </w:pPr>
    </w:p>
    <w:p w:rsidR="00000D13" w:rsidRPr="00A20F2C" w:rsidRDefault="00000D13" w:rsidP="0059696B">
      <w:pPr>
        <w:ind w:right="-72"/>
        <w:rPr>
          <w:rFonts w:ascii="Arial" w:hAnsi="Arial" w:cs="Arial"/>
          <w:color w:val="000000"/>
          <w:sz w:val="20"/>
          <w:szCs w:val="20"/>
        </w:rPr>
      </w:pPr>
    </w:p>
    <w:sectPr w:rsidR="00000D13" w:rsidRPr="00A20F2C" w:rsidSect="00701B17">
      <w:pgSz w:w="12240" w:h="15840"/>
      <w:pgMar w:top="1440" w:right="1440" w:bottom="1440" w:left="13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84" w:rsidRDefault="00436384">
      <w:r>
        <w:separator/>
      </w:r>
    </w:p>
  </w:endnote>
  <w:endnote w:type="continuationSeparator" w:id="0">
    <w:p w:rsidR="00436384" w:rsidRDefault="004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84" w:rsidRDefault="00436384">
      <w:r>
        <w:separator/>
      </w:r>
    </w:p>
  </w:footnote>
  <w:footnote w:type="continuationSeparator" w:id="0">
    <w:p w:rsidR="00436384" w:rsidRDefault="0043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D7203"/>
    <w:multiLevelType w:val="hybridMultilevel"/>
    <w:tmpl w:val="6728DDD8"/>
    <w:lvl w:ilvl="0" w:tplc="A1B2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6AED"/>
    <w:multiLevelType w:val="hybridMultilevel"/>
    <w:tmpl w:val="AE7AF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B59AC"/>
    <w:multiLevelType w:val="hybridMultilevel"/>
    <w:tmpl w:val="A376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C58"/>
    <w:multiLevelType w:val="multilevel"/>
    <w:tmpl w:val="904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8762E"/>
    <w:multiLevelType w:val="hybridMultilevel"/>
    <w:tmpl w:val="9BAA5858"/>
    <w:lvl w:ilvl="0" w:tplc="A39294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5513"/>
    <w:multiLevelType w:val="hybridMultilevel"/>
    <w:tmpl w:val="0B9A80FC"/>
    <w:lvl w:ilvl="0" w:tplc="DC123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6A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6D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CD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CB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0C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2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E7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85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00D13"/>
    <w:rsid w:val="00017718"/>
    <w:rsid w:val="00033CF3"/>
    <w:rsid w:val="0006653D"/>
    <w:rsid w:val="000935D3"/>
    <w:rsid w:val="00100CAD"/>
    <w:rsid w:val="00120B57"/>
    <w:rsid w:val="001341FE"/>
    <w:rsid w:val="00177CEB"/>
    <w:rsid w:val="00195142"/>
    <w:rsid w:val="001B705A"/>
    <w:rsid w:val="001D427C"/>
    <w:rsid w:val="001F5AE0"/>
    <w:rsid w:val="001F5C50"/>
    <w:rsid w:val="00217920"/>
    <w:rsid w:val="0022001F"/>
    <w:rsid w:val="00271811"/>
    <w:rsid w:val="00281FB6"/>
    <w:rsid w:val="0029249E"/>
    <w:rsid w:val="002B5B00"/>
    <w:rsid w:val="002D2806"/>
    <w:rsid w:val="002E5920"/>
    <w:rsid w:val="00311FEC"/>
    <w:rsid w:val="0032406E"/>
    <w:rsid w:val="00324B3B"/>
    <w:rsid w:val="00336C7D"/>
    <w:rsid w:val="00346B04"/>
    <w:rsid w:val="00350D22"/>
    <w:rsid w:val="003B1DE4"/>
    <w:rsid w:val="003F3C35"/>
    <w:rsid w:val="0040438C"/>
    <w:rsid w:val="00416C6F"/>
    <w:rsid w:val="00422048"/>
    <w:rsid w:val="00435AF2"/>
    <w:rsid w:val="00436384"/>
    <w:rsid w:val="004755E0"/>
    <w:rsid w:val="00540627"/>
    <w:rsid w:val="005576C3"/>
    <w:rsid w:val="00575600"/>
    <w:rsid w:val="00581B7E"/>
    <w:rsid w:val="005847FE"/>
    <w:rsid w:val="0059696B"/>
    <w:rsid w:val="005B3A7B"/>
    <w:rsid w:val="005B4821"/>
    <w:rsid w:val="005B5846"/>
    <w:rsid w:val="005C464C"/>
    <w:rsid w:val="005C5C57"/>
    <w:rsid w:val="005F4DBE"/>
    <w:rsid w:val="006162C8"/>
    <w:rsid w:val="006164E3"/>
    <w:rsid w:val="006237A6"/>
    <w:rsid w:val="00664F8D"/>
    <w:rsid w:val="0067525B"/>
    <w:rsid w:val="00684305"/>
    <w:rsid w:val="006B361B"/>
    <w:rsid w:val="00701B17"/>
    <w:rsid w:val="007037A3"/>
    <w:rsid w:val="00703C3C"/>
    <w:rsid w:val="007531D3"/>
    <w:rsid w:val="00775DB4"/>
    <w:rsid w:val="00780975"/>
    <w:rsid w:val="0078161C"/>
    <w:rsid w:val="007D6E9D"/>
    <w:rsid w:val="00812FB5"/>
    <w:rsid w:val="008476C1"/>
    <w:rsid w:val="00890613"/>
    <w:rsid w:val="00897D97"/>
    <w:rsid w:val="008A114E"/>
    <w:rsid w:val="008B088F"/>
    <w:rsid w:val="008B5CD7"/>
    <w:rsid w:val="008D1AA1"/>
    <w:rsid w:val="009179D7"/>
    <w:rsid w:val="009627FE"/>
    <w:rsid w:val="009A040B"/>
    <w:rsid w:val="00A0789C"/>
    <w:rsid w:val="00A20F2C"/>
    <w:rsid w:val="00A31F34"/>
    <w:rsid w:val="00A37AC5"/>
    <w:rsid w:val="00A42BB4"/>
    <w:rsid w:val="00A555A8"/>
    <w:rsid w:val="00A6779C"/>
    <w:rsid w:val="00AB14EC"/>
    <w:rsid w:val="00AB1CD4"/>
    <w:rsid w:val="00B6661C"/>
    <w:rsid w:val="00B97EC1"/>
    <w:rsid w:val="00BB2BB2"/>
    <w:rsid w:val="00BB3102"/>
    <w:rsid w:val="00BC347A"/>
    <w:rsid w:val="00BC5167"/>
    <w:rsid w:val="00BD40B1"/>
    <w:rsid w:val="00BD60AC"/>
    <w:rsid w:val="00BE5D5B"/>
    <w:rsid w:val="00BF2196"/>
    <w:rsid w:val="00BF77FC"/>
    <w:rsid w:val="00C20F9F"/>
    <w:rsid w:val="00C249C7"/>
    <w:rsid w:val="00C5711D"/>
    <w:rsid w:val="00C62221"/>
    <w:rsid w:val="00C65E0A"/>
    <w:rsid w:val="00C9764F"/>
    <w:rsid w:val="00CA38BD"/>
    <w:rsid w:val="00CA77ED"/>
    <w:rsid w:val="00CB6E72"/>
    <w:rsid w:val="00D0300A"/>
    <w:rsid w:val="00D16F3D"/>
    <w:rsid w:val="00D70DAD"/>
    <w:rsid w:val="00DD5973"/>
    <w:rsid w:val="00E127E8"/>
    <w:rsid w:val="00E17456"/>
    <w:rsid w:val="00E525FC"/>
    <w:rsid w:val="00E5593C"/>
    <w:rsid w:val="00E624E8"/>
    <w:rsid w:val="00E81976"/>
    <w:rsid w:val="00EB35E5"/>
    <w:rsid w:val="00F068F1"/>
    <w:rsid w:val="00F40E16"/>
    <w:rsid w:val="00F554C6"/>
    <w:rsid w:val="00F73F3C"/>
    <w:rsid w:val="00F94101"/>
    <w:rsid w:val="00FC6DC9"/>
    <w:rsid w:val="00FE0D8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20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220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B1DE4"/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aliases w:val="single space,footnote text,FOOTNOTES,fn,ALTS FOOTNOTE,ADB,footnote text Char,fn Char,ADB Char,single space Char Char,pod carou,Fußnotentext Char,Footnote text,ft,Footnote Text Char1,Footnote Text Char2 Char,Footno,f,Geneva 9,Font: Geneva 9"/>
    <w:basedOn w:val="Normal"/>
    <w:link w:val="FootnoteTextChar"/>
    <w:unhideWhenUsed/>
    <w:rsid w:val="00A6779C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single space Char,footnote text Char1,FOOTNOTES Char,fn Char1,ALTS FOOTNOTE Char,ADB Char1,footnote text Char Char,fn Char Char,ADB Char Char,single space Char Char Char,pod carou Char,Fußnotentext Char Char,Footnote text Char,ft Char"/>
    <w:basedOn w:val="DefaultParagraphFont"/>
    <w:link w:val="FootnoteText"/>
    <w:rsid w:val="00A6779C"/>
    <w:rPr>
      <w:rFonts w:asciiTheme="minorHAnsi" w:eastAsiaTheme="minorEastAsia" w:hAnsiTheme="minorHAnsi" w:cstheme="minorBidi"/>
    </w:rPr>
  </w:style>
  <w:style w:type="character" w:styleId="FootnoteReference">
    <w:name w:val="footnote reference"/>
    <w:aliases w:val="ftref,16 Point,Superscript 6 Point,Times 10 Point, Exposant 3 Point,Footnote symbol,Footnote reference number,Exposant 3 Point,EN Footnote Reference,note TESI,Footnote Reference Number,Footnote Reference_LVL6,Footnote Reference_LVL61"/>
    <w:basedOn w:val="DefaultParagraphFont"/>
    <w:unhideWhenUsed/>
    <w:rsid w:val="00A6779C"/>
    <w:rPr>
      <w:vertAlign w:val="superscript"/>
    </w:rPr>
  </w:style>
  <w:style w:type="paragraph" w:customStyle="1" w:styleId="TimesNewRoman">
    <w:name w:val="Times New Roman"/>
    <w:basedOn w:val="NoSpacing"/>
    <w:qFormat/>
    <w:rsid w:val="00A6779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696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BD6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0AC"/>
  </w:style>
  <w:style w:type="paragraph" w:styleId="CommentSubject">
    <w:name w:val="annotation subject"/>
    <w:basedOn w:val="CommentText"/>
    <w:next w:val="CommentText"/>
    <w:link w:val="CommentSubjectChar"/>
    <w:rsid w:val="00BD6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20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220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B1DE4"/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aliases w:val="single space,footnote text,FOOTNOTES,fn,ALTS FOOTNOTE,ADB,footnote text Char,fn Char,ADB Char,single space Char Char,pod carou,Fußnotentext Char,Footnote text,ft,Footnote Text Char1,Footnote Text Char2 Char,Footno,f,Geneva 9,Font: Geneva 9"/>
    <w:basedOn w:val="Normal"/>
    <w:link w:val="FootnoteTextChar"/>
    <w:unhideWhenUsed/>
    <w:rsid w:val="00A6779C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single space Char,footnote text Char1,FOOTNOTES Char,fn Char1,ALTS FOOTNOTE Char,ADB Char1,footnote text Char Char,fn Char Char,ADB Char Char,single space Char Char Char,pod carou Char,Fußnotentext Char Char,Footnote text Char,ft Char"/>
    <w:basedOn w:val="DefaultParagraphFont"/>
    <w:link w:val="FootnoteText"/>
    <w:rsid w:val="00A6779C"/>
    <w:rPr>
      <w:rFonts w:asciiTheme="minorHAnsi" w:eastAsiaTheme="minorEastAsia" w:hAnsiTheme="minorHAnsi" w:cstheme="minorBidi"/>
    </w:rPr>
  </w:style>
  <w:style w:type="character" w:styleId="FootnoteReference">
    <w:name w:val="footnote reference"/>
    <w:aliases w:val="ftref,16 Point,Superscript 6 Point,Times 10 Point, Exposant 3 Point,Footnote symbol,Footnote reference number,Exposant 3 Point,EN Footnote Reference,note TESI,Footnote Reference Number,Footnote Reference_LVL6,Footnote Reference_LVL61"/>
    <w:basedOn w:val="DefaultParagraphFont"/>
    <w:unhideWhenUsed/>
    <w:rsid w:val="00A6779C"/>
    <w:rPr>
      <w:vertAlign w:val="superscript"/>
    </w:rPr>
  </w:style>
  <w:style w:type="paragraph" w:customStyle="1" w:styleId="TimesNewRoman">
    <w:name w:val="Times New Roman"/>
    <w:basedOn w:val="NoSpacing"/>
    <w:qFormat/>
    <w:rsid w:val="00A6779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696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BD6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0AC"/>
  </w:style>
  <w:style w:type="paragraph" w:styleId="CommentSubject">
    <w:name w:val="annotation subject"/>
    <w:basedOn w:val="CommentText"/>
    <w:next w:val="CommentText"/>
    <w:link w:val="CommentSubjectChar"/>
    <w:rsid w:val="00BD6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0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20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bank.org.a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manasian@worldban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7608E3-D0EA-4258-A06C-C121F4F8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5069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Nvard Manasian</cp:lastModifiedBy>
  <cp:revision>5</cp:revision>
  <cp:lastPrinted>2012-05-24T15:29:00Z</cp:lastPrinted>
  <dcterms:created xsi:type="dcterms:W3CDTF">2013-04-19T12:37:00Z</dcterms:created>
  <dcterms:modified xsi:type="dcterms:W3CDTF">2013-05-03T12:58:00Z</dcterms:modified>
</cp:coreProperties>
</file>