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764508" w:rsidRPr="00764508" w:rsidTr="00E5593C">
        <w:tc>
          <w:tcPr>
            <w:tcW w:w="4648" w:type="dxa"/>
            <w:tcBorders>
              <w:top w:val="nil"/>
              <w:left w:val="nil"/>
              <w:bottom w:val="nil"/>
              <w:right w:val="nil"/>
            </w:tcBorders>
          </w:tcPr>
          <w:p w:rsidR="00BC347A" w:rsidRPr="00764508" w:rsidRDefault="006B7B51" w:rsidP="008B5CD7">
            <w:pPr>
              <w:keepNext/>
              <w:autoSpaceDE w:val="0"/>
              <w:autoSpaceDN w:val="0"/>
              <w:adjustRightInd w:val="0"/>
              <w:spacing w:line="240" w:lineRule="atLeast"/>
              <w:ind w:left="108"/>
              <w:jc w:val="center"/>
              <w:rPr>
                <w:rFonts w:ascii="Tms Rmn" w:hAnsi="Tms Rmn"/>
                <w:color w:val="000000" w:themeColor="text1"/>
              </w:rPr>
            </w:pPr>
            <w:r w:rsidRPr="00764508">
              <w:rPr>
                <w:rFonts w:ascii="Tms Rmn" w:hAnsi="Tms Rmn"/>
                <w:noProof/>
                <w:color w:val="000000" w:themeColor="text1"/>
              </w:rPr>
              <w:drawing>
                <wp:inline distT="0" distB="0" distL="0" distR="0">
                  <wp:extent cx="26289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rsidR="00BC347A" w:rsidRPr="00764508" w:rsidRDefault="00BC347A">
            <w:pPr>
              <w:autoSpaceDE w:val="0"/>
              <w:autoSpaceDN w:val="0"/>
              <w:adjustRightInd w:val="0"/>
              <w:spacing w:line="240" w:lineRule="atLeast"/>
              <w:ind w:left="108" w:right="108"/>
              <w:rPr>
                <w:rFonts w:ascii="Verdana" w:hAnsi="Verdana" w:cs="Verdana"/>
                <w:b/>
                <w:bCs/>
                <w:color w:val="000000" w:themeColor="text1"/>
                <w:sz w:val="32"/>
                <w:szCs w:val="32"/>
              </w:rPr>
            </w:pPr>
            <w:r w:rsidRPr="00764508">
              <w:rPr>
                <w:rFonts w:ascii="Verdana" w:hAnsi="Verdana" w:cs="Verdana"/>
                <w:b/>
                <w:bCs/>
                <w:color w:val="000000" w:themeColor="text1"/>
                <w:sz w:val="32"/>
                <w:szCs w:val="32"/>
              </w:rPr>
              <w:t xml:space="preserve">  </w:t>
            </w:r>
          </w:p>
          <w:p w:rsidR="00BC347A" w:rsidRPr="00764508" w:rsidRDefault="00947971">
            <w:pPr>
              <w:autoSpaceDE w:val="0"/>
              <w:autoSpaceDN w:val="0"/>
              <w:adjustRightInd w:val="0"/>
              <w:rPr>
                <w:color w:val="000000" w:themeColor="text1"/>
              </w:rPr>
            </w:pPr>
            <w:r w:rsidRPr="00764508">
              <w:rPr>
                <w:color w:val="000000" w:themeColor="text1"/>
              </w:rPr>
              <w:t xml:space="preserve">      </w:t>
            </w:r>
          </w:p>
        </w:tc>
      </w:tr>
    </w:tbl>
    <w:p w:rsidR="00416C6F" w:rsidRPr="00764508" w:rsidRDefault="00416C6F" w:rsidP="00177CEB">
      <w:pPr>
        <w:rPr>
          <w:rFonts w:ascii="Arial" w:hAnsi="Arial" w:cs="Arial"/>
          <w:b/>
          <w:color w:val="000000" w:themeColor="text1"/>
          <w:sz w:val="20"/>
          <w:szCs w:val="20"/>
        </w:rPr>
      </w:pPr>
    </w:p>
    <w:p w:rsidR="00177CEB" w:rsidRPr="00764508" w:rsidRDefault="00177CEB" w:rsidP="00177CEB">
      <w:pPr>
        <w:rPr>
          <w:rFonts w:ascii="Arial" w:hAnsi="Arial" w:cs="Arial"/>
          <w:b/>
          <w:color w:val="000000" w:themeColor="text1"/>
          <w:sz w:val="20"/>
          <w:szCs w:val="20"/>
        </w:rPr>
      </w:pPr>
      <w:r w:rsidRPr="00764508">
        <w:rPr>
          <w:rFonts w:ascii="Arial" w:hAnsi="Arial" w:cs="Arial"/>
          <w:b/>
          <w:color w:val="000000" w:themeColor="text1"/>
          <w:sz w:val="20"/>
          <w:szCs w:val="20"/>
        </w:rPr>
        <w:t xml:space="preserve">News Release </w:t>
      </w:r>
    </w:p>
    <w:p w:rsidR="00EE2B57" w:rsidRPr="00764508" w:rsidRDefault="00EE2B57" w:rsidP="001504CF">
      <w:pPr>
        <w:pStyle w:val="Heading1"/>
        <w:spacing w:before="0"/>
        <w:rPr>
          <w:rFonts w:ascii="Arial" w:hAnsi="Arial" w:cs="Arial"/>
          <w:color w:val="000000" w:themeColor="text1"/>
          <w:sz w:val="32"/>
          <w:szCs w:val="32"/>
        </w:rPr>
      </w:pPr>
    </w:p>
    <w:p w:rsidR="005B2393" w:rsidRPr="00764508" w:rsidRDefault="005B2393" w:rsidP="00EA3019">
      <w:pPr>
        <w:shd w:val="clear" w:color="auto" w:fill="FFFFFF"/>
        <w:jc w:val="center"/>
        <w:outlineLvl w:val="0"/>
        <w:rPr>
          <w:rFonts w:ascii="Arial" w:hAnsi="Arial" w:cs="Arial"/>
          <w:color w:val="000000" w:themeColor="text1"/>
          <w:sz w:val="32"/>
          <w:szCs w:val="32"/>
        </w:rPr>
      </w:pPr>
      <w:r w:rsidRPr="00764508">
        <w:rPr>
          <w:rFonts w:ascii="Arial" w:hAnsi="Arial" w:cs="Arial"/>
          <w:b/>
          <w:bCs/>
          <w:color w:val="000000" w:themeColor="text1"/>
          <w:kern w:val="36"/>
          <w:sz w:val="32"/>
          <w:szCs w:val="32"/>
        </w:rPr>
        <w:t>Together for Growth</w:t>
      </w:r>
      <w:r w:rsidR="00716666">
        <w:rPr>
          <w:rFonts w:ascii="Arial" w:hAnsi="Arial" w:cs="Arial"/>
          <w:b/>
          <w:bCs/>
          <w:color w:val="000000" w:themeColor="text1"/>
          <w:kern w:val="36"/>
          <w:sz w:val="32"/>
          <w:szCs w:val="32"/>
        </w:rPr>
        <w:t xml:space="preserve"> and Shared Prosperity</w:t>
      </w:r>
    </w:p>
    <w:p w:rsidR="00865BCD" w:rsidRPr="00764508" w:rsidRDefault="00865BCD" w:rsidP="00EA3019">
      <w:pPr>
        <w:ind w:right="-72"/>
        <w:rPr>
          <w:rFonts w:ascii="Arial" w:hAnsi="Arial" w:cs="Arial"/>
          <w:b/>
          <w:color w:val="000000" w:themeColor="text1"/>
          <w:sz w:val="32"/>
          <w:szCs w:val="32"/>
        </w:rPr>
      </w:pPr>
    </w:p>
    <w:p w:rsidR="005B2393" w:rsidRPr="00962DCD" w:rsidRDefault="005B2393" w:rsidP="00EA3019">
      <w:pPr>
        <w:shd w:val="clear" w:color="auto" w:fill="FFFFFF"/>
        <w:jc w:val="center"/>
        <w:outlineLvl w:val="0"/>
        <w:rPr>
          <w:rFonts w:ascii="Arial" w:hAnsi="Arial" w:cs="Arial"/>
          <w:color w:val="000000" w:themeColor="text1"/>
        </w:rPr>
      </w:pPr>
      <w:r w:rsidRPr="00962DCD">
        <w:rPr>
          <w:rFonts w:ascii="Arial" w:hAnsi="Arial" w:cs="Arial"/>
          <w:b/>
          <w:bCs/>
          <w:color w:val="000000" w:themeColor="text1"/>
          <w:kern w:val="36"/>
        </w:rPr>
        <w:t xml:space="preserve">Marking the 20th Anniversary of the </w:t>
      </w:r>
      <w:r w:rsidR="00962DCD" w:rsidRPr="00962DCD">
        <w:rPr>
          <w:rFonts w:ascii="Arial" w:hAnsi="Arial" w:cs="Arial"/>
          <w:b/>
          <w:bCs/>
          <w:color w:val="000000" w:themeColor="text1"/>
          <w:kern w:val="36"/>
        </w:rPr>
        <w:t>Republic of Armenia</w:t>
      </w:r>
      <w:r w:rsidR="00962DCD" w:rsidRPr="00962DCD">
        <w:rPr>
          <w:rFonts w:ascii="Arial" w:hAnsi="Arial" w:cs="Arial"/>
          <w:b/>
          <w:bCs/>
          <w:color w:val="000000" w:themeColor="text1"/>
          <w:kern w:val="36"/>
        </w:rPr>
        <w:t xml:space="preserve"> Joining </w:t>
      </w:r>
      <w:r w:rsidR="00962DCD" w:rsidRPr="00962DCD">
        <w:rPr>
          <w:rFonts w:ascii="Arial" w:hAnsi="Arial" w:cs="Arial"/>
          <w:b/>
          <w:bCs/>
          <w:color w:val="000000" w:themeColor="text1"/>
          <w:kern w:val="36"/>
        </w:rPr>
        <w:t xml:space="preserve">the </w:t>
      </w:r>
      <w:r w:rsidRPr="00962DCD">
        <w:rPr>
          <w:rFonts w:ascii="Arial" w:hAnsi="Arial" w:cs="Arial"/>
          <w:b/>
          <w:bCs/>
          <w:color w:val="000000" w:themeColor="text1"/>
          <w:kern w:val="36"/>
        </w:rPr>
        <w:t xml:space="preserve">World Bank  </w:t>
      </w:r>
    </w:p>
    <w:p w:rsidR="00897012" w:rsidRPr="00764508" w:rsidRDefault="00897012" w:rsidP="001279FC">
      <w:pPr>
        <w:ind w:right="-72"/>
        <w:jc w:val="center"/>
        <w:rPr>
          <w:rFonts w:ascii="Arial" w:hAnsi="Arial" w:cs="Arial"/>
          <w:b/>
          <w:color w:val="000000" w:themeColor="text1"/>
          <w:sz w:val="20"/>
          <w:szCs w:val="20"/>
        </w:rPr>
      </w:pPr>
    </w:p>
    <w:p w:rsidR="004C5ECB" w:rsidRPr="00764508" w:rsidRDefault="00634624" w:rsidP="00EE2B57">
      <w:pPr>
        <w:rPr>
          <w:rFonts w:ascii="Arial" w:hAnsi="Arial" w:cs="Arial"/>
          <w:color w:val="000000" w:themeColor="text1"/>
          <w:sz w:val="20"/>
          <w:szCs w:val="20"/>
        </w:rPr>
      </w:pPr>
      <w:r w:rsidRPr="00764508">
        <w:rPr>
          <w:rFonts w:ascii="Arial" w:hAnsi="Arial" w:cs="Arial"/>
          <w:b/>
          <w:color w:val="000000" w:themeColor="text1"/>
          <w:sz w:val="20"/>
          <w:szCs w:val="20"/>
        </w:rPr>
        <w:t>YEREVAN</w:t>
      </w:r>
      <w:r w:rsidR="00E5593C" w:rsidRPr="00764508">
        <w:rPr>
          <w:rFonts w:ascii="Arial" w:hAnsi="Arial" w:cs="Arial"/>
          <w:b/>
          <w:color w:val="000000" w:themeColor="text1"/>
          <w:sz w:val="20"/>
          <w:szCs w:val="20"/>
        </w:rPr>
        <w:t xml:space="preserve">, </w:t>
      </w:r>
      <w:r w:rsidR="005B2393" w:rsidRPr="00764508">
        <w:rPr>
          <w:rFonts w:ascii="Arial" w:hAnsi="Arial" w:cs="Arial"/>
          <w:b/>
          <w:color w:val="000000" w:themeColor="text1"/>
          <w:sz w:val="20"/>
          <w:szCs w:val="20"/>
        </w:rPr>
        <w:t>December</w:t>
      </w:r>
      <w:r w:rsidRPr="00764508">
        <w:rPr>
          <w:rFonts w:ascii="Arial" w:hAnsi="Arial" w:cs="Arial"/>
          <w:b/>
          <w:color w:val="000000" w:themeColor="text1"/>
          <w:sz w:val="20"/>
          <w:szCs w:val="20"/>
        </w:rPr>
        <w:t>4</w:t>
      </w:r>
      <w:r w:rsidR="00E06D0C" w:rsidRPr="00764508">
        <w:rPr>
          <w:rFonts w:ascii="Arial" w:hAnsi="Arial" w:cs="Arial"/>
          <w:b/>
          <w:color w:val="000000" w:themeColor="text1"/>
          <w:sz w:val="20"/>
          <w:szCs w:val="20"/>
        </w:rPr>
        <w:t>, 2012</w:t>
      </w:r>
      <w:r w:rsidR="00177CEB" w:rsidRPr="00764508">
        <w:rPr>
          <w:rFonts w:ascii="Arial" w:hAnsi="Arial" w:cs="Arial"/>
          <w:b/>
          <w:color w:val="000000" w:themeColor="text1"/>
          <w:sz w:val="20"/>
          <w:szCs w:val="20"/>
        </w:rPr>
        <w:t xml:space="preserve"> </w:t>
      </w:r>
      <w:r w:rsidR="00CC21CB" w:rsidRPr="00764508">
        <w:rPr>
          <w:rFonts w:ascii="Arial" w:hAnsi="Arial" w:cs="Arial"/>
          <w:b/>
          <w:color w:val="000000" w:themeColor="text1"/>
          <w:sz w:val="20"/>
          <w:szCs w:val="20"/>
        </w:rPr>
        <w:t>–</w:t>
      </w:r>
      <w:r w:rsidR="0083171F" w:rsidRPr="00764508">
        <w:rPr>
          <w:rFonts w:ascii="Arial" w:hAnsi="Arial" w:cs="Arial"/>
          <w:color w:val="000000" w:themeColor="text1"/>
          <w:sz w:val="20"/>
          <w:szCs w:val="20"/>
        </w:rPr>
        <w:t>The World Bank today marks the 20</w:t>
      </w:r>
      <w:r w:rsidR="0083171F" w:rsidRPr="00764508">
        <w:rPr>
          <w:rFonts w:ascii="Arial" w:hAnsi="Arial" w:cs="Arial"/>
          <w:color w:val="000000" w:themeColor="text1"/>
          <w:sz w:val="20"/>
          <w:szCs w:val="20"/>
          <w:vertAlign w:val="superscript"/>
        </w:rPr>
        <w:t>th</w:t>
      </w:r>
      <w:r w:rsidR="0083171F" w:rsidRPr="00764508">
        <w:rPr>
          <w:rFonts w:ascii="Arial" w:hAnsi="Arial" w:cs="Arial"/>
          <w:color w:val="000000" w:themeColor="text1"/>
          <w:sz w:val="20"/>
          <w:szCs w:val="20"/>
        </w:rPr>
        <w:t xml:space="preserve"> anniversary of its cooperation with the Republic of Armenia, a partnership that has made an important contribution to improving lives of the Armenian </w:t>
      </w:r>
      <w:r w:rsidR="00716666">
        <w:rPr>
          <w:rFonts w:ascii="Arial" w:hAnsi="Arial" w:cs="Arial"/>
          <w:color w:val="000000" w:themeColor="text1"/>
          <w:sz w:val="20"/>
          <w:szCs w:val="20"/>
        </w:rPr>
        <w:t>children, women, and men</w:t>
      </w:r>
      <w:r w:rsidR="0083171F" w:rsidRPr="00764508">
        <w:rPr>
          <w:rFonts w:ascii="Arial" w:hAnsi="Arial" w:cs="Arial"/>
          <w:color w:val="000000" w:themeColor="text1"/>
          <w:sz w:val="20"/>
          <w:szCs w:val="20"/>
        </w:rPr>
        <w:t>.</w:t>
      </w:r>
      <w:r w:rsidR="003252E7" w:rsidRPr="00764508">
        <w:rPr>
          <w:rFonts w:ascii="Arial" w:hAnsi="Arial" w:cs="Arial"/>
          <w:color w:val="000000" w:themeColor="text1"/>
          <w:sz w:val="20"/>
          <w:szCs w:val="20"/>
        </w:rPr>
        <w:t xml:space="preserve"> </w:t>
      </w:r>
      <w:r w:rsidR="00B4194B">
        <w:rPr>
          <w:rFonts w:ascii="Arial" w:hAnsi="Arial" w:cs="Arial"/>
          <w:color w:val="000000" w:themeColor="text1"/>
          <w:sz w:val="20"/>
          <w:szCs w:val="20"/>
        </w:rPr>
        <w:t>A c</w:t>
      </w:r>
      <w:r w:rsidR="00EA3019" w:rsidRPr="00764508">
        <w:rPr>
          <w:rFonts w:ascii="Arial" w:hAnsi="Arial" w:cs="Arial"/>
          <w:color w:val="000000" w:themeColor="text1"/>
          <w:sz w:val="20"/>
          <w:szCs w:val="20"/>
        </w:rPr>
        <w:t xml:space="preserve">elebration event </w:t>
      </w:r>
      <w:r w:rsidR="00B4194B">
        <w:rPr>
          <w:rFonts w:ascii="Arial" w:hAnsi="Arial" w:cs="Arial"/>
          <w:color w:val="000000" w:themeColor="text1"/>
          <w:sz w:val="20"/>
          <w:szCs w:val="20"/>
        </w:rPr>
        <w:t xml:space="preserve">is </w:t>
      </w:r>
      <w:r w:rsidR="00EA3019" w:rsidRPr="00764508">
        <w:rPr>
          <w:rFonts w:ascii="Arial" w:hAnsi="Arial" w:cs="Arial"/>
          <w:color w:val="000000" w:themeColor="text1"/>
          <w:sz w:val="20"/>
          <w:szCs w:val="20"/>
        </w:rPr>
        <w:t xml:space="preserve">attended by many counterparts, including high level officials, </w:t>
      </w:r>
      <w:r w:rsidR="002E7F3F" w:rsidRPr="00764508">
        <w:rPr>
          <w:rFonts w:ascii="Arial" w:hAnsi="Arial" w:cs="Arial"/>
          <w:color w:val="000000" w:themeColor="text1"/>
          <w:sz w:val="20"/>
          <w:szCs w:val="20"/>
        </w:rPr>
        <w:t xml:space="preserve">representatives of </w:t>
      </w:r>
      <w:r w:rsidR="00EA3019" w:rsidRPr="00764508">
        <w:rPr>
          <w:rFonts w:ascii="Arial" w:hAnsi="Arial" w:cs="Arial"/>
          <w:color w:val="000000" w:themeColor="text1"/>
          <w:sz w:val="20"/>
          <w:szCs w:val="20"/>
        </w:rPr>
        <w:t xml:space="preserve">business </w:t>
      </w:r>
      <w:r w:rsidR="002E7F3F" w:rsidRPr="00764508">
        <w:rPr>
          <w:rFonts w:ascii="Arial" w:hAnsi="Arial" w:cs="Arial"/>
          <w:color w:val="000000" w:themeColor="text1"/>
          <w:sz w:val="20"/>
          <w:szCs w:val="20"/>
        </w:rPr>
        <w:t xml:space="preserve">and banking sectors, project implementation units, </w:t>
      </w:r>
      <w:r w:rsidR="00B4194B">
        <w:rPr>
          <w:rFonts w:ascii="Arial" w:hAnsi="Arial" w:cs="Arial"/>
          <w:color w:val="000000" w:themeColor="text1"/>
          <w:sz w:val="20"/>
          <w:szCs w:val="20"/>
        </w:rPr>
        <w:t>civil society organizations</w:t>
      </w:r>
      <w:r w:rsidR="002E7F3F" w:rsidRPr="00764508">
        <w:rPr>
          <w:rFonts w:ascii="Arial" w:hAnsi="Arial" w:cs="Arial"/>
          <w:color w:val="000000" w:themeColor="text1"/>
          <w:sz w:val="20"/>
          <w:szCs w:val="20"/>
        </w:rPr>
        <w:t xml:space="preserve">, </w:t>
      </w:r>
      <w:r w:rsidR="00B4194B">
        <w:rPr>
          <w:rFonts w:ascii="Arial" w:hAnsi="Arial" w:cs="Arial"/>
          <w:color w:val="000000" w:themeColor="text1"/>
          <w:sz w:val="20"/>
          <w:szCs w:val="20"/>
        </w:rPr>
        <w:t xml:space="preserve">and </w:t>
      </w:r>
      <w:r w:rsidR="002E7F3F" w:rsidRPr="00764508">
        <w:rPr>
          <w:rFonts w:ascii="Arial" w:hAnsi="Arial" w:cs="Arial"/>
          <w:color w:val="000000" w:themeColor="text1"/>
          <w:sz w:val="20"/>
          <w:szCs w:val="20"/>
        </w:rPr>
        <w:t xml:space="preserve">media </w:t>
      </w:r>
      <w:r w:rsidR="00B4194B">
        <w:rPr>
          <w:rFonts w:ascii="Arial" w:hAnsi="Arial" w:cs="Arial"/>
          <w:color w:val="000000" w:themeColor="text1"/>
          <w:sz w:val="20"/>
          <w:szCs w:val="20"/>
        </w:rPr>
        <w:t>outlets</w:t>
      </w:r>
      <w:r w:rsidR="002E7F3F" w:rsidRPr="00764508">
        <w:rPr>
          <w:rFonts w:ascii="Arial" w:hAnsi="Arial" w:cs="Arial"/>
          <w:color w:val="000000" w:themeColor="text1"/>
          <w:sz w:val="20"/>
          <w:szCs w:val="20"/>
        </w:rPr>
        <w:t>.</w:t>
      </w:r>
    </w:p>
    <w:p w:rsidR="003252E7" w:rsidRPr="00764508" w:rsidRDefault="003252E7" w:rsidP="00EE2B57">
      <w:pPr>
        <w:rPr>
          <w:rFonts w:ascii="Arial" w:hAnsi="Arial" w:cs="Arial"/>
          <w:color w:val="000000" w:themeColor="text1"/>
          <w:sz w:val="20"/>
          <w:szCs w:val="20"/>
        </w:rPr>
      </w:pPr>
    </w:p>
    <w:p w:rsidR="003252E7" w:rsidRPr="00764508" w:rsidRDefault="00764508" w:rsidP="003252E7">
      <w:pPr>
        <w:rPr>
          <w:rFonts w:ascii="Arial" w:hAnsi="Arial" w:cs="Arial"/>
          <w:color w:val="000000" w:themeColor="text1"/>
          <w:sz w:val="20"/>
          <w:szCs w:val="20"/>
        </w:rPr>
      </w:pPr>
      <w:r>
        <w:rPr>
          <w:rFonts w:ascii="Arial" w:hAnsi="Arial" w:cs="Arial"/>
          <w:color w:val="000000" w:themeColor="text1"/>
          <w:sz w:val="20"/>
          <w:szCs w:val="20"/>
        </w:rPr>
        <w:t>S</w:t>
      </w:r>
      <w:r w:rsidRPr="00764508">
        <w:rPr>
          <w:rFonts w:ascii="Arial" w:hAnsi="Arial" w:cs="Arial"/>
          <w:color w:val="000000" w:themeColor="text1"/>
          <w:sz w:val="20"/>
          <w:szCs w:val="20"/>
        </w:rPr>
        <w:t>ince independence</w:t>
      </w:r>
      <w:r>
        <w:rPr>
          <w:rFonts w:ascii="Arial" w:hAnsi="Arial" w:cs="Arial"/>
          <w:color w:val="000000" w:themeColor="text1"/>
          <w:sz w:val="20"/>
          <w:szCs w:val="20"/>
        </w:rPr>
        <w:t>,</w:t>
      </w:r>
      <w:r w:rsidRPr="00764508">
        <w:rPr>
          <w:rFonts w:ascii="Arial" w:hAnsi="Arial" w:cs="Arial"/>
          <w:color w:val="000000" w:themeColor="text1"/>
          <w:sz w:val="20"/>
          <w:szCs w:val="20"/>
        </w:rPr>
        <w:t xml:space="preserve"> in the early 1990s</w:t>
      </w:r>
      <w:r>
        <w:rPr>
          <w:rFonts w:ascii="Arial" w:hAnsi="Arial" w:cs="Arial"/>
          <w:color w:val="000000" w:themeColor="text1"/>
          <w:sz w:val="20"/>
          <w:szCs w:val="20"/>
        </w:rPr>
        <w:t>,</w:t>
      </w:r>
      <w:r w:rsidRPr="00764508">
        <w:rPr>
          <w:rFonts w:ascii="Arial" w:hAnsi="Arial" w:cs="Arial"/>
          <w:color w:val="000000" w:themeColor="text1"/>
          <w:sz w:val="20"/>
          <w:szCs w:val="20"/>
        </w:rPr>
        <w:t xml:space="preserve"> </w:t>
      </w:r>
      <w:r w:rsidR="003252E7" w:rsidRPr="00764508">
        <w:rPr>
          <w:rFonts w:ascii="Arial" w:hAnsi="Arial" w:cs="Arial"/>
          <w:color w:val="000000" w:themeColor="text1"/>
          <w:sz w:val="20"/>
          <w:szCs w:val="20"/>
        </w:rPr>
        <w:t xml:space="preserve">Armenia’s economy has undergone a profound </w:t>
      </w:r>
      <w:r w:rsidR="00C81C6F" w:rsidRPr="00764508">
        <w:rPr>
          <w:rFonts w:ascii="Arial" w:hAnsi="Arial" w:cs="Arial"/>
          <w:color w:val="000000" w:themeColor="text1"/>
          <w:sz w:val="20"/>
          <w:szCs w:val="20"/>
        </w:rPr>
        <w:t>transformation</w:t>
      </w:r>
      <w:r w:rsidR="003252E7" w:rsidRPr="00764508">
        <w:rPr>
          <w:rFonts w:ascii="Arial" w:hAnsi="Arial" w:cs="Arial"/>
          <w:color w:val="000000" w:themeColor="text1"/>
          <w:sz w:val="20"/>
          <w:szCs w:val="20"/>
        </w:rPr>
        <w:t>. Sustained growth, ambitious reforms, and external inflows of capital and remittances have created a market-oriented environment that is highly receptive to trade, capital, and technological innovation.</w:t>
      </w:r>
    </w:p>
    <w:p w:rsidR="0033201F" w:rsidRPr="00764508" w:rsidRDefault="0033201F" w:rsidP="003252E7">
      <w:pPr>
        <w:rPr>
          <w:rFonts w:ascii="Arial" w:hAnsi="Arial" w:cs="Arial"/>
          <w:color w:val="000000" w:themeColor="text1"/>
          <w:sz w:val="20"/>
          <w:szCs w:val="20"/>
        </w:rPr>
      </w:pPr>
    </w:p>
    <w:p w:rsidR="0033201F" w:rsidRPr="00764508" w:rsidRDefault="0033201F" w:rsidP="0033201F">
      <w:pPr>
        <w:autoSpaceDE w:val="0"/>
        <w:autoSpaceDN w:val="0"/>
        <w:adjustRightInd w:val="0"/>
        <w:rPr>
          <w:rFonts w:ascii="Arial" w:hAnsi="Arial" w:cs="Arial"/>
          <w:color w:val="000000" w:themeColor="text1"/>
          <w:sz w:val="20"/>
          <w:szCs w:val="20"/>
        </w:rPr>
      </w:pPr>
      <w:bookmarkStart w:id="0" w:name="_GoBack"/>
      <w:r w:rsidRPr="00764508">
        <w:rPr>
          <w:rFonts w:ascii="Arial" w:hAnsi="Arial" w:cs="Arial"/>
          <w:color w:val="000000" w:themeColor="text1"/>
          <w:sz w:val="20"/>
          <w:szCs w:val="20"/>
        </w:rPr>
        <w:t xml:space="preserve">Starting with an initial $12 million Operation designed </w:t>
      </w:r>
      <w:r w:rsidR="00764508">
        <w:rPr>
          <w:rFonts w:ascii="Arial" w:hAnsi="Arial" w:cs="Arial"/>
          <w:color w:val="000000" w:themeColor="text1"/>
          <w:sz w:val="20"/>
          <w:szCs w:val="20"/>
        </w:rPr>
        <w:t>to assist the</w:t>
      </w:r>
      <w:r w:rsidRPr="00764508">
        <w:rPr>
          <w:rFonts w:ascii="Arial" w:hAnsi="Arial" w:cs="Arial"/>
          <w:color w:val="000000" w:themeColor="text1"/>
          <w:sz w:val="20"/>
          <w:szCs w:val="20"/>
        </w:rPr>
        <w:t xml:space="preserve"> economic reforms, the World Bank has </w:t>
      </w:r>
      <w:bookmarkEnd w:id="0"/>
      <w:r w:rsidRPr="00764508">
        <w:rPr>
          <w:rFonts w:ascii="Arial" w:hAnsi="Arial" w:cs="Arial"/>
          <w:color w:val="000000" w:themeColor="text1"/>
          <w:sz w:val="20"/>
          <w:szCs w:val="20"/>
        </w:rPr>
        <w:t>remained a firm development partner,</w:t>
      </w:r>
      <w:r w:rsidR="00764508">
        <w:rPr>
          <w:rFonts w:ascii="Arial" w:hAnsi="Arial" w:cs="Arial"/>
          <w:color w:val="000000" w:themeColor="text1"/>
          <w:sz w:val="20"/>
          <w:szCs w:val="20"/>
        </w:rPr>
        <w:t xml:space="preserve"> through</w:t>
      </w:r>
      <w:r w:rsidRPr="00764508">
        <w:rPr>
          <w:rFonts w:ascii="Arial" w:hAnsi="Arial" w:cs="Arial"/>
          <w:color w:val="000000" w:themeColor="text1"/>
          <w:sz w:val="20"/>
          <w:szCs w:val="20"/>
        </w:rPr>
        <w:t xml:space="preserve"> </w:t>
      </w:r>
      <w:r w:rsidR="00764508" w:rsidRPr="00764508">
        <w:rPr>
          <w:rFonts w:ascii="Arial" w:hAnsi="Arial" w:cs="Arial"/>
          <w:color w:val="000000" w:themeColor="text1"/>
          <w:sz w:val="20"/>
          <w:szCs w:val="20"/>
        </w:rPr>
        <w:t xml:space="preserve">56 operations </w:t>
      </w:r>
      <w:r w:rsidRPr="00764508">
        <w:rPr>
          <w:rFonts w:ascii="Arial" w:hAnsi="Arial" w:cs="Arial"/>
          <w:color w:val="000000" w:themeColor="text1"/>
          <w:sz w:val="20"/>
          <w:szCs w:val="20"/>
        </w:rPr>
        <w:t>committing over $</w:t>
      </w:r>
      <w:r w:rsidR="00674BED" w:rsidRPr="00764508">
        <w:rPr>
          <w:rFonts w:ascii="Arial" w:hAnsi="Arial" w:cs="Arial"/>
          <w:color w:val="000000" w:themeColor="text1"/>
          <w:sz w:val="20"/>
          <w:szCs w:val="20"/>
        </w:rPr>
        <w:t>1, 6</w:t>
      </w:r>
      <w:r w:rsidRPr="00764508">
        <w:rPr>
          <w:rFonts w:ascii="Arial" w:hAnsi="Arial" w:cs="Arial"/>
          <w:color w:val="000000" w:themeColor="text1"/>
          <w:sz w:val="20"/>
          <w:szCs w:val="20"/>
        </w:rPr>
        <w:t xml:space="preserve"> billion to </w:t>
      </w:r>
      <w:r w:rsidR="00674BED" w:rsidRPr="00764508">
        <w:rPr>
          <w:rFonts w:ascii="Arial" w:hAnsi="Arial" w:cs="Arial"/>
          <w:color w:val="000000" w:themeColor="text1"/>
          <w:sz w:val="20"/>
          <w:szCs w:val="20"/>
        </w:rPr>
        <w:t>Armenia</w:t>
      </w:r>
      <w:r w:rsidR="00764508">
        <w:rPr>
          <w:rFonts w:ascii="Arial" w:hAnsi="Arial" w:cs="Arial"/>
          <w:color w:val="000000" w:themeColor="text1"/>
          <w:sz w:val="20"/>
          <w:szCs w:val="20"/>
        </w:rPr>
        <w:t>,</w:t>
      </w:r>
      <w:r w:rsidR="00674BED" w:rsidRPr="00764508">
        <w:rPr>
          <w:rFonts w:ascii="Arial" w:hAnsi="Arial" w:cs="Arial"/>
          <w:color w:val="000000" w:themeColor="text1"/>
          <w:sz w:val="20"/>
          <w:szCs w:val="20"/>
        </w:rPr>
        <w:t xml:space="preserve"> throughout the last</w:t>
      </w:r>
      <w:r w:rsidRPr="00764508">
        <w:rPr>
          <w:rFonts w:ascii="Arial" w:hAnsi="Arial" w:cs="Arial"/>
          <w:color w:val="000000" w:themeColor="text1"/>
          <w:sz w:val="20"/>
          <w:szCs w:val="20"/>
        </w:rPr>
        <w:t xml:space="preserve"> two </w:t>
      </w:r>
      <w:r w:rsidR="00674BED" w:rsidRPr="00764508">
        <w:rPr>
          <w:rFonts w:ascii="Arial" w:hAnsi="Arial" w:cs="Arial"/>
          <w:color w:val="000000" w:themeColor="text1"/>
          <w:sz w:val="20"/>
          <w:szCs w:val="20"/>
        </w:rPr>
        <w:t>decades</w:t>
      </w:r>
      <w:r w:rsidR="00764508">
        <w:rPr>
          <w:rFonts w:ascii="Arial" w:hAnsi="Arial" w:cs="Arial"/>
          <w:color w:val="000000" w:themeColor="text1"/>
          <w:sz w:val="20"/>
          <w:szCs w:val="20"/>
        </w:rPr>
        <w:t>.</w:t>
      </w:r>
    </w:p>
    <w:p w:rsidR="002E7F3F" w:rsidRPr="00764508" w:rsidRDefault="002E7F3F" w:rsidP="0033201F">
      <w:pPr>
        <w:autoSpaceDE w:val="0"/>
        <w:autoSpaceDN w:val="0"/>
        <w:adjustRightInd w:val="0"/>
        <w:rPr>
          <w:rFonts w:ascii="Arial" w:hAnsi="Arial" w:cs="Arial"/>
          <w:color w:val="000000" w:themeColor="text1"/>
          <w:sz w:val="20"/>
          <w:szCs w:val="20"/>
        </w:rPr>
      </w:pPr>
    </w:p>
    <w:p w:rsidR="002E7F3F" w:rsidRPr="00764508" w:rsidRDefault="002E7F3F" w:rsidP="002E7F3F">
      <w:pPr>
        <w:shd w:val="clear" w:color="auto" w:fill="FFFFFF"/>
        <w:adjustRightInd w:val="0"/>
        <w:rPr>
          <w:rFonts w:ascii="Arial" w:hAnsi="Arial" w:cs="Arial"/>
          <w:i/>
          <w:color w:val="000000" w:themeColor="text1"/>
          <w:sz w:val="20"/>
          <w:szCs w:val="20"/>
        </w:rPr>
      </w:pPr>
      <w:r w:rsidRPr="00764508">
        <w:rPr>
          <w:rFonts w:ascii="Arial" w:hAnsi="Arial" w:cs="Arial"/>
          <w:i/>
          <w:color w:val="000000" w:themeColor="text1"/>
          <w:sz w:val="20"/>
          <w:szCs w:val="20"/>
        </w:rPr>
        <w:t>“This is a significant milestone for the Bank and we are proud to have been serving Armenian people,</w:t>
      </w:r>
      <w:r w:rsidR="00764508">
        <w:rPr>
          <w:rFonts w:ascii="Arial" w:hAnsi="Arial" w:cs="Arial"/>
          <w:i/>
          <w:color w:val="000000" w:themeColor="text1"/>
          <w:sz w:val="20"/>
          <w:szCs w:val="20"/>
        </w:rPr>
        <w:t>”</w:t>
      </w:r>
      <w:r w:rsidRPr="00764508">
        <w:rPr>
          <w:rFonts w:ascii="Arial" w:hAnsi="Arial" w:cs="Arial"/>
          <w:i/>
          <w:color w:val="000000" w:themeColor="text1"/>
          <w:sz w:val="20"/>
          <w:szCs w:val="20"/>
        </w:rPr>
        <w:t xml:space="preserve"> the </w:t>
      </w:r>
      <w:r w:rsidRPr="00764508">
        <w:rPr>
          <w:rFonts w:ascii="Arial" w:hAnsi="Arial" w:cs="Arial"/>
          <w:b/>
          <w:bCs/>
          <w:color w:val="000000" w:themeColor="text1"/>
          <w:sz w:val="20"/>
          <w:szCs w:val="20"/>
        </w:rPr>
        <w:t xml:space="preserve">World Bank Regional Director for </w:t>
      </w:r>
      <w:r w:rsidRPr="00764508">
        <w:rPr>
          <w:rFonts w:ascii="Arial" w:hAnsi="Arial" w:cs="Arial"/>
          <w:b/>
          <w:color w:val="000000" w:themeColor="text1"/>
          <w:sz w:val="20"/>
          <w:szCs w:val="20"/>
        </w:rPr>
        <w:t>South Caucasus Henry Kerali</w:t>
      </w:r>
      <w:r w:rsidRPr="00764508">
        <w:rPr>
          <w:rFonts w:ascii="Arial" w:hAnsi="Arial" w:cs="Arial"/>
          <w:color w:val="000000" w:themeColor="text1"/>
          <w:sz w:val="20"/>
          <w:szCs w:val="20"/>
        </w:rPr>
        <w:t xml:space="preserve"> said</w:t>
      </w:r>
      <w:r w:rsidRPr="00764508">
        <w:rPr>
          <w:rFonts w:ascii="Arial" w:hAnsi="Arial" w:cs="Arial"/>
          <w:i/>
          <w:color w:val="000000" w:themeColor="text1"/>
          <w:sz w:val="20"/>
          <w:szCs w:val="20"/>
        </w:rPr>
        <w:t xml:space="preserve">. “Armenia has come a long way in the last two decades. Thanks to sustained reform efforts by the Government since early </w:t>
      </w:r>
      <w:r w:rsidR="00B4194B">
        <w:rPr>
          <w:rFonts w:ascii="Arial" w:hAnsi="Arial" w:cs="Arial"/>
          <w:i/>
          <w:color w:val="000000" w:themeColor="text1"/>
          <w:sz w:val="20"/>
          <w:szCs w:val="20"/>
        </w:rPr>
        <w:t>19</w:t>
      </w:r>
      <w:r w:rsidRPr="00764508">
        <w:rPr>
          <w:rFonts w:ascii="Arial" w:hAnsi="Arial" w:cs="Arial"/>
          <w:i/>
          <w:color w:val="000000" w:themeColor="text1"/>
          <w:sz w:val="20"/>
          <w:szCs w:val="20"/>
        </w:rPr>
        <w:t xml:space="preserve">90s, the country has managed to increase incomes for its citizens, improve transport and infrastructure, and </w:t>
      </w:r>
      <w:r w:rsidR="00B4194B">
        <w:rPr>
          <w:rFonts w:ascii="Arial" w:hAnsi="Arial" w:cs="Arial"/>
          <w:i/>
          <w:color w:val="000000" w:themeColor="text1"/>
          <w:sz w:val="20"/>
          <w:szCs w:val="20"/>
        </w:rPr>
        <w:t>curtail poverty</w:t>
      </w:r>
      <w:r w:rsidRPr="00764508">
        <w:rPr>
          <w:rFonts w:ascii="Arial" w:hAnsi="Arial" w:cs="Arial"/>
          <w:i/>
          <w:color w:val="000000" w:themeColor="text1"/>
          <w:sz w:val="20"/>
          <w:szCs w:val="20"/>
        </w:rPr>
        <w:t xml:space="preserve">. However, the country continues to face social and economic challenges, </w:t>
      </w:r>
      <w:r w:rsidR="00B4194B">
        <w:rPr>
          <w:rFonts w:ascii="Arial" w:hAnsi="Arial" w:cs="Arial"/>
          <w:i/>
          <w:color w:val="000000" w:themeColor="text1"/>
          <w:sz w:val="20"/>
          <w:szCs w:val="20"/>
        </w:rPr>
        <w:t>in the aftermath of the recent global and Euro zone crisis</w:t>
      </w:r>
      <w:r w:rsidRPr="00764508">
        <w:rPr>
          <w:rFonts w:ascii="Arial" w:hAnsi="Arial" w:cs="Arial"/>
          <w:i/>
          <w:color w:val="000000" w:themeColor="text1"/>
          <w:sz w:val="20"/>
          <w:szCs w:val="20"/>
        </w:rPr>
        <w:t>. Throughout all these changes, the World Bank Group constantly engaged with Armenia – forging a solid partnership through good times and bad.</w:t>
      </w:r>
      <w:r w:rsidR="002549E8" w:rsidRPr="00764508">
        <w:rPr>
          <w:rFonts w:ascii="Arial" w:hAnsi="Arial" w:cs="Arial"/>
          <w:i/>
          <w:color w:val="000000" w:themeColor="text1"/>
          <w:sz w:val="20"/>
          <w:szCs w:val="20"/>
        </w:rPr>
        <w:t>”</w:t>
      </w:r>
      <w:r w:rsidRPr="00764508">
        <w:rPr>
          <w:rFonts w:ascii="Arial" w:hAnsi="Arial" w:cs="Arial"/>
          <w:i/>
          <w:color w:val="000000" w:themeColor="text1"/>
          <w:sz w:val="20"/>
          <w:szCs w:val="20"/>
        </w:rPr>
        <w:t xml:space="preserve"> </w:t>
      </w:r>
    </w:p>
    <w:p w:rsidR="002549E8" w:rsidRPr="00764508" w:rsidRDefault="002549E8" w:rsidP="002549E8">
      <w:pPr>
        <w:pStyle w:val="NoSpacing"/>
        <w:ind w:firstLine="0"/>
        <w:rPr>
          <w:rFonts w:ascii="Arial" w:hAnsi="Arial" w:cs="Arial"/>
          <w:color w:val="000000" w:themeColor="text1"/>
          <w:sz w:val="20"/>
          <w:szCs w:val="20"/>
        </w:rPr>
      </w:pPr>
    </w:p>
    <w:p w:rsidR="00D22F57" w:rsidRPr="00764508" w:rsidRDefault="00D22F57" w:rsidP="00D22F57">
      <w:pPr>
        <w:autoSpaceDE w:val="0"/>
        <w:autoSpaceDN w:val="0"/>
        <w:adjustRightInd w:val="0"/>
        <w:rPr>
          <w:rFonts w:ascii="Arial" w:hAnsi="Arial" w:cs="Arial"/>
          <w:color w:val="000000" w:themeColor="text1"/>
          <w:sz w:val="20"/>
          <w:szCs w:val="20"/>
        </w:rPr>
      </w:pPr>
      <w:r w:rsidRPr="00764508">
        <w:rPr>
          <w:rFonts w:ascii="Arial" w:hAnsi="Arial" w:cs="Arial"/>
          <w:color w:val="000000" w:themeColor="text1"/>
          <w:sz w:val="20"/>
          <w:szCs w:val="20"/>
        </w:rPr>
        <w:t xml:space="preserve">According to </w:t>
      </w:r>
      <w:r w:rsidR="00B4194B">
        <w:rPr>
          <w:rFonts w:ascii="Arial" w:hAnsi="Arial" w:cs="Arial"/>
          <w:color w:val="000000" w:themeColor="text1"/>
          <w:sz w:val="20"/>
          <w:szCs w:val="20"/>
        </w:rPr>
        <w:t xml:space="preserve">the </w:t>
      </w:r>
      <w:r w:rsidRPr="00764508">
        <w:rPr>
          <w:rFonts w:ascii="Arial" w:hAnsi="Arial" w:cs="Arial"/>
          <w:color w:val="000000" w:themeColor="text1"/>
          <w:sz w:val="20"/>
          <w:szCs w:val="20"/>
        </w:rPr>
        <w:t xml:space="preserve">Country Client Survey conducted in the fall of 2012, the World Bank’s overall effectiveness in Armenia is rated 7.6 (out of 10 point scale); the respect with which the Bank treats stakeholders in the country is rated 8.6; the staff preparedness is graded at 8.3. Looking toward the future, </w:t>
      </w:r>
      <w:r w:rsidR="00764508">
        <w:rPr>
          <w:rFonts w:ascii="Arial" w:hAnsi="Arial" w:cs="Arial"/>
          <w:color w:val="000000" w:themeColor="text1"/>
          <w:sz w:val="20"/>
          <w:szCs w:val="20"/>
        </w:rPr>
        <w:t>respondents on</w:t>
      </w:r>
      <w:r w:rsidR="00764508" w:rsidRPr="00764508">
        <w:rPr>
          <w:rFonts w:ascii="Arial" w:hAnsi="Arial" w:cs="Arial"/>
          <w:color w:val="000000" w:themeColor="text1"/>
          <w:sz w:val="20"/>
          <w:szCs w:val="20"/>
        </w:rPr>
        <w:t xml:space="preserve"> average rated</w:t>
      </w:r>
      <w:r w:rsidR="00764508">
        <w:rPr>
          <w:rFonts w:ascii="Arial" w:hAnsi="Arial" w:cs="Arial"/>
          <w:color w:val="000000" w:themeColor="text1"/>
          <w:sz w:val="20"/>
          <w:szCs w:val="20"/>
        </w:rPr>
        <w:t xml:space="preserve"> the potential role to be played by the Bank in terms of Armenia’s development landscape at the level of 8.3.</w:t>
      </w:r>
      <w:r w:rsidRPr="00764508">
        <w:rPr>
          <w:rFonts w:ascii="Arial" w:hAnsi="Arial" w:cs="Arial"/>
          <w:color w:val="000000" w:themeColor="text1"/>
          <w:sz w:val="20"/>
          <w:szCs w:val="20"/>
        </w:rPr>
        <w:t xml:space="preserve"> The rating on the technical quality of the Bank’s knowledge stands at 7.6.</w:t>
      </w:r>
    </w:p>
    <w:p w:rsidR="00D22F57" w:rsidRPr="00764508" w:rsidRDefault="00D22F57" w:rsidP="00D22F57">
      <w:pPr>
        <w:autoSpaceDE w:val="0"/>
        <w:autoSpaceDN w:val="0"/>
        <w:adjustRightInd w:val="0"/>
        <w:rPr>
          <w:rFonts w:ascii="Arial" w:hAnsi="Arial" w:cs="Arial"/>
          <w:color w:val="000000" w:themeColor="text1"/>
          <w:sz w:val="20"/>
          <w:szCs w:val="20"/>
        </w:rPr>
      </w:pPr>
    </w:p>
    <w:p w:rsidR="00D22F57" w:rsidRPr="00764508" w:rsidRDefault="00D22F57" w:rsidP="00D22F57">
      <w:pPr>
        <w:shd w:val="clear" w:color="auto" w:fill="FFFFFF"/>
        <w:adjustRightInd w:val="0"/>
        <w:rPr>
          <w:rFonts w:ascii="Arial" w:hAnsi="Arial" w:cs="Arial"/>
          <w:color w:val="000000" w:themeColor="text1"/>
          <w:sz w:val="20"/>
          <w:szCs w:val="20"/>
        </w:rPr>
      </w:pPr>
      <w:r w:rsidRPr="00764508">
        <w:rPr>
          <w:rFonts w:ascii="Arial" w:hAnsi="Arial" w:cs="Arial"/>
          <w:color w:val="000000" w:themeColor="text1"/>
          <w:sz w:val="20"/>
          <w:szCs w:val="20"/>
        </w:rPr>
        <w:t xml:space="preserve">“The Client Survey outcomes </w:t>
      </w:r>
      <w:r w:rsidR="00764508">
        <w:rPr>
          <w:rFonts w:ascii="Arial" w:hAnsi="Arial" w:cs="Arial"/>
          <w:color w:val="000000" w:themeColor="text1"/>
          <w:sz w:val="20"/>
          <w:szCs w:val="20"/>
        </w:rPr>
        <w:t>are</w:t>
      </w:r>
      <w:r w:rsidRPr="00764508">
        <w:rPr>
          <w:rFonts w:ascii="Arial" w:hAnsi="Arial" w:cs="Arial"/>
          <w:color w:val="000000" w:themeColor="text1"/>
          <w:sz w:val="20"/>
          <w:szCs w:val="20"/>
        </w:rPr>
        <w:t xml:space="preserve"> encouraging for us, the World Bank Armenia </w:t>
      </w:r>
      <w:r w:rsidR="00B4194B">
        <w:rPr>
          <w:rFonts w:ascii="Arial" w:hAnsi="Arial" w:cs="Arial"/>
          <w:color w:val="000000" w:themeColor="text1"/>
          <w:sz w:val="20"/>
          <w:szCs w:val="20"/>
        </w:rPr>
        <w:t>Country</w:t>
      </w:r>
      <w:r w:rsidR="00B4194B" w:rsidRPr="00764508">
        <w:rPr>
          <w:rFonts w:ascii="Arial" w:hAnsi="Arial" w:cs="Arial"/>
          <w:color w:val="000000" w:themeColor="text1"/>
          <w:sz w:val="20"/>
          <w:szCs w:val="20"/>
        </w:rPr>
        <w:t xml:space="preserve"> </w:t>
      </w:r>
      <w:r w:rsidRPr="00764508">
        <w:rPr>
          <w:rFonts w:ascii="Arial" w:hAnsi="Arial" w:cs="Arial"/>
          <w:color w:val="000000" w:themeColor="text1"/>
          <w:sz w:val="20"/>
          <w:szCs w:val="20"/>
        </w:rPr>
        <w:t xml:space="preserve">Team, especially </w:t>
      </w:r>
      <w:r w:rsidR="00764508">
        <w:rPr>
          <w:rFonts w:ascii="Arial" w:hAnsi="Arial" w:cs="Arial"/>
          <w:color w:val="000000" w:themeColor="text1"/>
          <w:sz w:val="20"/>
          <w:szCs w:val="20"/>
        </w:rPr>
        <w:t>prior to the preparation of</w:t>
      </w:r>
      <w:r w:rsidRPr="00764508">
        <w:rPr>
          <w:rFonts w:ascii="Arial" w:hAnsi="Arial" w:cs="Arial"/>
          <w:color w:val="000000" w:themeColor="text1"/>
          <w:sz w:val="20"/>
          <w:szCs w:val="20"/>
        </w:rPr>
        <w:t xml:space="preserve"> the </w:t>
      </w:r>
      <w:r w:rsidR="00B4194B">
        <w:rPr>
          <w:rFonts w:ascii="Arial" w:hAnsi="Arial" w:cs="Arial"/>
          <w:color w:val="000000" w:themeColor="text1"/>
          <w:sz w:val="20"/>
          <w:szCs w:val="20"/>
        </w:rPr>
        <w:t>next</w:t>
      </w:r>
      <w:r w:rsidR="00B4194B" w:rsidRPr="00764508">
        <w:rPr>
          <w:rFonts w:ascii="Arial" w:hAnsi="Arial" w:cs="Arial"/>
          <w:color w:val="000000" w:themeColor="text1"/>
          <w:sz w:val="20"/>
          <w:szCs w:val="20"/>
        </w:rPr>
        <w:t xml:space="preserve"> </w:t>
      </w:r>
      <w:r w:rsidRPr="00764508">
        <w:rPr>
          <w:rFonts w:ascii="Arial" w:hAnsi="Arial" w:cs="Arial"/>
          <w:color w:val="000000" w:themeColor="text1"/>
          <w:sz w:val="20"/>
          <w:szCs w:val="20"/>
        </w:rPr>
        <w:t>Country Partnership Strategy (CPS)</w:t>
      </w:r>
      <w:r w:rsidR="00B4194B">
        <w:rPr>
          <w:rFonts w:ascii="Arial" w:hAnsi="Arial" w:cs="Arial"/>
          <w:color w:val="000000" w:themeColor="text1"/>
          <w:sz w:val="20"/>
          <w:szCs w:val="20"/>
        </w:rPr>
        <w:t xml:space="preserve"> covering the period FY2014-17</w:t>
      </w:r>
      <w:r w:rsidRPr="00764508">
        <w:rPr>
          <w:rFonts w:ascii="Arial" w:hAnsi="Arial" w:cs="Arial"/>
          <w:color w:val="000000" w:themeColor="text1"/>
          <w:sz w:val="20"/>
          <w:szCs w:val="20"/>
        </w:rPr>
        <w:t xml:space="preserve">”, </w:t>
      </w:r>
      <w:r w:rsidRPr="00764508">
        <w:rPr>
          <w:rFonts w:ascii="Arial" w:hAnsi="Arial" w:cs="Arial"/>
          <w:b/>
          <w:color w:val="000000" w:themeColor="text1"/>
          <w:sz w:val="20"/>
          <w:szCs w:val="20"/>
        </w:rPr>
        <w:t xml:space="preserve">Country Manager for Armenia Jean-Michel </w:t>
      </w:r>
      <w:proofErr w:type="spellStart"/>
      <w:r w:rsidRPr="00764508">
        <w:rPr>
          <w:rFonts w:ascii="Arial" w:hAnsi="Arial" w:cs="Arial"/>
          <w:b/>
          <w:color w:val="000000" w:themeColor="text1"/>
          <w:sz w:val="20"/>
          <w:szCs w:val="20"/>
        </w:rPr>
        <w:t>Happ</w:t>
      </w:r>
      <w:r w:rsidR="00B4194B">
        <w:rPr>
          <w:rFonts w:ascii="Arial" w:hAnsi="Arial" w:cs="Arial"/>
          <w:b/>
          <w:color w:val="000000" w:themeColor="text1"/>
          <w:sz w:val="20"/>
          <w:szCs w:val="20"/>
        </w:rPr>
        <w:t>i</w:t>
      </w:r>
      <w:proofErr w:type="spellEnd"/>
      <w:r w:rsidRPr="00764508">
        <w:rPr>
          <w:rFonts w:ascii="Arial" w:hAnsi="Arial" w:cs="Arial"/>
          <w:color w:val="000000" w:themeColor="text1"/>
          <w:sz w:val="20"/>
          <w:szCs w:val="20"/>
        </w:rPr>
        <w:t xml:space="preserve"> said. “</w:t>
      </w:r>
      <w:r w:rsidR="00B4194B">
        <w:rPr>
          <w:rFonts w:ascii="Arial" w:hAnsi="Arial" w:cs="Arial"/>
          <w:color w:val="000000" w:themeColor="text1"/>
          <w:sz w:val="20"/>
          <w:szCs w:val="20"/>
        </w:rPr>
        <w:t>Our staff is our main asset and</w:t>
      </w:r>
      <w:r w:rsidR="0052030E">
        <w:rPr>
          <w:rFonts w:ascii="Arial" w:hAnsi="Arial" w:cs="Arial"/>
          <w:color w:val="000000" w:themeColor="text1"/>
          <w:sz w:val="20"/>
          <w:szCs w:val="20"/>
        </w:rPr>
        <w:t xml:space="preserve"> </w:t>
      </w:r>
      <w:r w:rsidRPr="00764508">
        <w:rPr>
          <w:rFonts w:ascii="Arial" w:hAnsi="Arial" w:cs="Arial"/>
          <w:color w:val="000000" w:themeColor="text1"/>
          <w:sz w:val="20"/>
          <w:szCs w:val="20"/>
        </w:rPr>
        <w:t xml:space="preserve">the key to success </w:t>
      </w:r>
      <w:r w:rsidR="00B4194B">
        <w:rPr>
          <w:rFonts w:ascii="Arial" w:hAnsi="Arial" w:cs="Arial"/>
          <w:color w:val="000000" w:themeColor="text1"/>
          <w:sz w:val="20"/>
          <w:szCs w:val="20"/>
        </w:rPr>
        <w:t>of the Bank Group’s financing, knowledge sharing, and advisory services.</w:t>
      </w:r>
      <w:r w:rsidRPr="00764508">
        <w:rPr>
          <w:rFonts w:ascii="Arial" w:hAnsi="Arial" w:cs="Arial"/>
          <w:color w:val="000000" w:themeColor="text1"/>
          <w:sz w:val="20"/>
          <w:szCs w:val="20"/>
        </w:rPr>
        <w:t>”</w:t>
      </w:r>
    </w:p>
    <w:p w:rsidR="00D22F57" w:rsidRPr="00764508" w:rsidRDefault="00D22F57" w:rsidP="002549E8">
      <w:pPr>
        <w:pStyle w:val="NoSpacing"/>
        <w:ind w:firstLine="0"/>
        <w:rPr>
          <w:rFonts w:ascii="Arial" w:hAnsi="Arial" w:cs="Arial"/>
          <w:color w:val="000000" w:themeColor="text1"/>
          <w:sz w:val="20"/>
          <w:szCs w:val="20"/>
        </w:rPr>
      </w:pPr>
    </w:p>
    <w:p w:rsidR="002549E8" w:rsidRPr="00764508" w:rsidRDefault="002549E8" w:rsidP="008C2054">
      <w:pPr>
        <w:pStyle w:val="NoSpacing"/>
        <w:ind w:firstLine="0"/>
        <w:rPr>
          <w:rFonts w:ascii="Arial" w:hAnsi="Arial" w:cs="Arial"/>
          <w:color w:val="000000" w:themeColor="text1"/>
          <w:sz w:val="20"/>
          <w:szCs w:val="20"/>
        </w:rPr>
      </w:pPr>
      <w:r w:rsidRPr="00764508">
        <w:rPr>
          <w:rFonts w:ascii="Arial" w:hAnsi="Arial" w:cs="Arial"/>
          <w:color w:val="000000" w:themeColor="text1"/>
          <w:sz w:val="20"/>
          <w:szCs w:val="20"/>
        </w:rPr>
        <w:t xml:space="preserve">The current Country Partnership Strategy for Armenia, which comes to an end in mid-2013, has been developed in the aftermath of the global economic crisis of 2009. The World Bank has supported the Government by envisaging total IDA/IBRD allocation of US$640.6 million with IDA share equaling to US$277 million. On top of the lending operations the Bank has 16 active trust fund operations totaling to about $15 million, as well as providing sector diagnoses and strategies that underpin the Bank’s dialogue and possible interventions. </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pStyle w:val="NoSpacing"/>
        <w:ind w:firstLine="0"/>
        <w:rPr>
          <w:rFonts w:ascii="Arial" w:hAnsi="Arial" w:cs="Arial"/>
          <w:color w:val="000000" w:themeColor="text1"/>
          <w:sz w:val="20"/>
          <w:szCs w:val="20"/>
        </w:rPr>
      </w:pPr>
      <w:r w:rsidRPr="00764508">
        <w:rPr>
          <w:rFonts w:ascii="Arial" w:hAnsi="Arial" w:cs="Arial"/>
          <w:color w:val="000000" w:themeColor="text1"/>
          <w:sz w:val="20"/>
          <w:szCs w:val="20"/>
        </w:rPr>
        <w:t>Currently, there are 14 active projects financed by the Bank. Here are some results achieved so far.</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jc w:val="both"/>
        <w:rPr>
          <w:rFonts w:ascii="Arial" w:hAnsi="Arial" w:cs="Arial"/>
          <w:color w:val="000000" w:themeColor="text1"/>
          <w:sz w:val="20"/>
          <w:szCs w:val="20"/>
        </w:rPr>
      </w:pPr>
      <w:r w:rsidRPr="00764508">
        <w:rPr>
          <w:rFonts w:ascii="Arial" w:hAnsi="Arial" w:cs="Arial"/>
          <w:color w:val="000000" w:themeColor="text1"/>
          <w:sz w:val="20"/>
          <w:szCs w:val="20"/>
        </w:rPr>
        <w:t xml:space="preserve">Under the </w:t>
      </w:r>
      <w:r w:rsidRPr="00764508">
        <w:rPr>
          <w:rFonts w:ascii="Arial" w:hAnsi="Arial" w:cs="Arial"/>
          <w:b/>
          <w:i/>
          <w:color w:val="000000" w:themeColor="text1"/>
          <w:sz w:val="20"/>
          <w:szCs w:val="20"/>
        </w:rPr>
        <w:t>Lifeline Roads Improvement Project</w:t>
      </w:r>
      <w:r w:rsidRPr="00764508">
        <w:rPr>
          <w:rFonts w:ascii="Arial" w:hAnsi="Arial" w:cs="Arial"/>
          <w:b/>
          <w:color w:val="000000" w:themeColor="text1"/>
          <w:sz w:val="20"/>
          <w:szCs w:val="20"/>
        </w:rPr>
        <w:t xml:space="preserve"> (LRIP)</w:t>
      </w:r>
      <w:r w:rsidRPr="00764508">
        <w:rPr>
          <w:rFonts w:ascii="Arial" w:hAnsi="Arial" w:cs="Arial"/>
          <w:color w:val="000000" w:themeColor="text1"/>
          <w:sz w:val="20"/>
          <w:szCs w:val="20"/>
        </w:rPr>
        <w:t xml:space="preserve"> the most isolated communities in Armenia are benefitting from improved roads, opening potential avenues for tourism industry and economic revival. The intervention has resulted in rural communities reconnected to their urban centers/markets. Since 2009, 332 km of roads linking villages to main highways have been rehabilitated while creating over 34,000 person-months of employment in rural areas. </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jc w:val="both"/>
        <w:rPr>
          <w:rFonts w:ascii="Arial" w:hAnsi="Arial" w:cs="Arial"/>
          <w:color w:val="000000" w:themeColor="text1"/>
          <w:sz w:val="20"/>
          <w:szCs w:val="20"/>
        </w:rPr>
      </w:pPr>
      <w:r w:rsidRPr="00764508">
        <w:rPr>
          <w:rFonts w:ascii="Arial" w:hAnsi="Arial" w:cs="Arial"/>
          <w:color w:val="000000" w:themeColor="text1"/>
          <w:sz w:val="20"/>
          <w:szCs w:val="20"/>
        </w:rPr>
        <w:t xml:space="preserve">The quality, reliability, and efficiency of water supply services have improved through </w:t>
      </w:r>
      <w:r w:rsidRPr="00764508">
        <w:rPr>
          <w:rFonts w:ascii="Arial" w:hAnsi="Arial" w:cs="Arial"/>
          <w:b/>
          <w:color w:val="000000" w:themeColor="text1"/>
          <w:sz w:val="20"/>
          <w:szCs w:val="20"/>
        </w:rPr>
        <w:t>the</w:t>
      </w:r>
      <w:r w:rsidRPr="00764508">
        <w:rPr>
          <w:rFonts w:ascii="Arial" w:hAnsi="Arial" w:cs="Arial"/>
          <w:b/>
          <w:i/>
          <w:color w:val="000000" w:themeColor="text1"/>
          <w:sz w:val="20"/>
          <w:szCs w:val="20"/>
        </w:rPr>
        <w:t xml:space="preserve"> Municipal Water</w:t>
      </w:r>
      <w:r w:rsidRPr="00764508">
        <w:rPr>
          <w:rFonts w:ascii="Arial" w:hAnsi="Arial" w:cs="Arial"/>
          <w:b/>
          <w:color w:val="000000" w:themeColor="text1"/>
          <w:sz w:val="20"/>
          <w:szCs w:val="20"/>
        </w:rPr>
        <w:t xml:space="preserve"> (MWP) </w:t>
      </w:r>
      <w:r w:rsidRPr="00764508">
        <w:rPr>
          <w:rFonts w:ascii="Arial" w:hAnsi="Arial" w:cs="Arial"/>
          <w:color w:val="000000" w:themeColor="text1"/>
          <w:sz w:val="20"/>
          <w:szCs w:val="20"/>
        </w:rPr>
        <w:t xml:space="preserve">and </w:t>
      </w:r>
      <w:r w:rsidRPr="00764508">
        <w:rPr>
          <w:rFonts w:ascii="Arial" w:hAnsi="Arial" w:cs="Arial"/>
          <w:b/>
          <w:i/>
          <w:color w:val="000000" w:themeColor="text1"/>
          <w:sz w:val="20"/>
          <w:szCs w:val="20"/>
        </w:rPr>
        <w:t>Municipal Water and Wastewater</w:t>
      </w:r>
      <w:r w:rsidRPr="00764508">
        <w:rPr>
          <w:rFonts w:ascii="Arial" w:hAnsi="Arial" w:cs="Arial"/>
          <w:b/>
          <w:color w:val="000000" w:themeColor="text1"/>
          <w:sz w:val="20"/>
          <w:szCs w:val="20"/>
        </w:rPr>
        <w:t xml:space="preserve"> (MWWP)</w:t>
      </w:r>
      <w:r w:rsidRPr="00764508">
        <w:rPr>
          <w:rFonts w:ascii="Arial" w:hAnsi="Arial" w:cs="Arial"/>
          <w:color w:val="000000" w:themeColor="text1"/>
          <w:sz w:val="20"/>
          <w:szCs w:val="20"/>
        </w:rPr>
        <w:t xml:space="preserve"> projects for Yerevan and outside the capital city. Over 332,000 households in Yerevan have benefitted from improvements in the duration of water supply and water quality. In capital city, the average number of hours on daily basis goes over 21 hours, while for other beneficiary communities it has increased from an average of six hours per day in 2004 to over 15 hours per day in 2012.</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pStyle w:val="NoSpacing"/>
        <w:ind w:firstLine="0"/>
        <w:rPr>
          <w:rFonts w:ascii="Arial" w:hAnsi="Arial" w:cs="Arial"/>
          <w:color w:val="000000" w:themeColor="text1"/>
          <w:sz w:val="20"/>
          <w:szCs w:val="20"/>
        </w:rPr>
      </w:pPr>
      <w:r w:rsidRPr="00764508">
        <w:rPr>
          <w:rFonts w:ascii="Arial" w:hAnsi="Arial" w:cs="Arial"/>
          <w:color w:val="000000" w:themeColor="text1"/>
          <w:sz w:val="20"/>
          <w:szCs w:val="20"/>
        </w:rPr>
        <w:t xml:space="preserve">The original </w:t>
      </w:r>
      <w:r w:rsidRPr="00764508">
        <w:rPr>
          <w:rFonts w:ascii="Arial" w:hAnsi="Arial" w:cs="Arial"/>
          <w:b/>
          <w:i/>
          <w:color w:val="000000" w:themeColor="text1"/>
          <w:sz w:val="20"/>
          <w:szCs w:val="20"/>
        </w:rPr>
        <w:t>Irrigation Rehabilitation Emergency</w:t>
      </w:r>
      <w:r w:rsidRPr="00764508">
        <w:rPr>
          <w:rFonts w:ascii="Arial" w:hAnsi="Arial" w:cs="Arial"/>
          <w:b/>
          <w:color w:val="000000" w:themeColor="text1"/>
          <w:sz w:val="20"/>
          <w:szCs w:val="20"/>
        </w:rPr>
        <w:t xml:space="preserve"> </w:t>
      </w:r>
      <w:r w:rsidRPr="00764508">
        <w:rPr>
          <w:rFonts w:ascii="Arial" w:hAnsi="Arial" w:cs="Arial"/>
          <w:b/>
          <w:i/>
          <w:color w:val="000000" w:themeColor="text1"/>
          <w:sz w:val="20"/>
          <w:szCs w:val="20"/>
        </w:rPr>
        <w:t>Project</w:t>
      </w:r>
      <w:r w:rsidRPr="00764508">
        <w:rPr>
          <w:rFonts w:ascii="Arial" w:hAnsi="Arial" w:cs="Arial"/>
          <w:color w:val="000000" w:themeColor="text1"/>
          <w:sz w:val="20"/>
          <w:szCs w:val="20"/>
        </w:rPr>
        <w:t xml:space="preserve"> </w:t>
      </w:r>
      <w:r w:rsidRPr="00764508">
        <w:rPr>
          <w:rFonts w:ascii="Arial" w:hAnsi="Arial" w:cs="Arial"/>
          <w:b/>
          <w:color w:val="000000" w:themeColor="text1"/>
          <w:sz w:val="20"/>
          <w:szCs w:val="20"/>
        </w:rPr>
        <w:t>(IREP)</w:t>
      </w:r>
      <w:r w:rsidRPr="00764508">
        <w:rPr>
          <w:rFonts w:ascii="Arial" w:hAnsi="Arial" w:cs="Arial"/>
          <w:color w:val="000000" w:themeColor="text1"/>
          <w:sz w:val="20"/>
          <w:szCs w:val="20"/>
        </w:rPr>
        <w:t xml:space="preserve"> reduced water loses </w:t>
      </w:r>
      <w:r w:rsidR="005902E1">
        <w:rPr>
          <w:rFonts w:ascii="Arial" w:hAnsi="Arial" w:cs="Arial"/>
          <w:color w:val="000000" w:themeColor="text1"/>
          <w:sz w:val="20"/>
          <w:szCs w:val="20"/>
        </w:rPr>
        <w:t xml:space="preserve">between </w:t>
      </w:r>
      <w:r w:rsidRPr="00764508">
        <w:rPr>
          <w:rFonts w:ascii="Arial" w:hAnsi="Arial" w:cs="Arial"/>
          <w:color w:val="000000" w:themeColor="text1"/>
          <w:sz w:val="20"/>
          <w:szCs w:val="20"/>
        </w:rPr>
        <w:t xml:space="preserve">primary intake and secondary structure interface on average by 15-16 percent due to </w:t>
      </w:r>
      <w:r w:rsidR="005902E1">
        <w:rPr>
          <w:rFonts w:ascii="Arial" w:hAnsi="Arial" w:cs="Arial"/>
          <w:color w:val="000000" w:themeColor="text1"/>
          <w:sz w:val="20"/>
          <w:szCs w:val="20"/>
        </w:rPr>
        <w:t>rehabilitated</w:t>
      </w:r>
      <w:r w:rsidR="005902E1" w:rsidRPr="00764508">
        <w:rPr>
          <w:rFonts w:ascii="Arial" w:hAnsi="Arial" w:cs="Arial"/>
          <w:color w:val="000000" w:themeColor="text1"/>
          <w:sz w:val="20"/>
          <w:szCs w:val="20"/>
        </w:rPr>
        <w:t xml:space="preserve"> </w:t>
      </w:r>
      <w:r w:rsidRPr="00764508">
        <w:rPr>
          <w:rFonts w:ascii="Arial" w:hAnsi="Arial" w:cs="Arial"/>
          <w:color w:val="000000" w:themeColor="text1"/>
          <w:sz w:val="20"/>
          <w:szCs w:val="20"/>
        </w:rPr>
        <w:t xml:space="preserve">89.4 km of all identified sections of Armavir and Talin main canals. The intervention has also contributed to the creation of 11,379 man-month temporary jobs. It </w:t>
      </w:r>
      <w:r w:rsidR="005902E1">
        <w:rPr>
          <w:rFonts w:ascii="Arial" w:hAnsi="Arial" w:cs="Arial"/>
          <w:color w:val="000000" w:themeColor="text1"/>
          <w:sz w:val="20"/>
          <w:szCs w:val="20"/>
        </w:rPr>
        <w:t>could</w:t>
      </w:r>
      <w:r w:rsidR="005902E1" w:rsidRPr="00764508">
        <w:rPr>
          <w:rFonts w:ascii="Arial" w:hAnsi="Arial" w:cs="Arial"/>
          <w:color w:val="000000" w:themeColor="text1"/>
          <w:sz w:val="20"/>
          <w:szCs w:val="20"/>
        </w:rPr>
        <w:t xml:space="preserve"> </w:t>
      </w:r>
      <w:proofErr w:type="gramStart"/>
      <w:r w:rsidRPr="00764508">
        <w:rPr>
          <w:rFonts w:ascii="Arial" w:hAnsi="Arial" w:cs="Arial"/>
          <w:color w:val="000000" w:themeColor="text1"/>
          <w:sz w:val="20"/>
          <w:szCs w:val="20"/>
        </w:rPr>
        <w:t>led</w:t>
      </w:r>
      <w:proofErr w:type="gramEnd"/>
      <w:r w:rsidRPr="00764508">
        <w:rPr>
          <w:rFonts w:ascii="Arial" w:hAnsi="Arial" w:cs="Arial"/>
          <w:color w:val="000000" w:themeColor="text1"/>
          <w:sz w:val="20"/>
          <w:szCs w:val="20"/>
        </w:rPr>
        <w:t xml:space="preserve"> to estimated 2,400 agricultural jobs, dealing with the cultivation of high-value crops. As a result of this intervention, 8000ha of land </w:t>
      </w:r>
      <w:r w:rsidR="005902E1">
        <w:rPr>
          <w:rFonts w:ascii="Arial" w:hAnsi="Arial" w:cs="Arial"/>
          <w:color w:val="000000" w:themeColor="text1"/>
          <w:sz w:val="20"/>
          <w:szCs w:val="20"/>
        </w:rPr>
        <w:t>could be returned to irrigation</w:t>
      </w:r>
      <w:r w:rsidRPr="00764508">
        <w:rPr>
          <w:rFonts w:ascii="Arial" w:hAnsi="Arial" w:cs="Arial"/>
          <w:color w:val="000000" w:themeColor="text1"/>
          <w:sz w:val="20"/>
          <w:szCs w:val="20"/>
        </w:rPr>
        <w:t>. The on-going</w:t>
      </w:r>
      <w:r w:rsidRPr="00764508">
        <w:rPr>
          <w:rFonts w:ascii="Arial" w:hAnsi="Arial" w:cs="Arial"/>
          <w:i/>
          <w:color w:val="000000" w:themeColor="text1"/>
          <w:sz w:val="20"/>
          <w:szCs w:val="20"/>
        </w:rPr>
        <w:t xml:space="preserve"> </w:t>
      </w:r>
      <w:r w:rsidRPr="00764508">
        <w:rPr>
          <w:rFonts w:ascii="Arial" w:hAnsi="Arial" w:cs="Arial"/>
          <w:b/>
          <w:i/>
          <w:color w:val="000000" w:themeColor="text1"/>
          <w:sz w:val="20"/>
          <w:szCs w:val="20"/>
        </w:rPr>
        <w:t>Additional Financing for Irrigation Rehabilitation Emergency Project</w:t>
      </w:r>
      <w:r w:rsidRPr="00764508">
        <w:rPr>
          <w:rFonts w:ascii="Arial" w:hAnsi="Arial" w:cs="Arial"/>
          <w:color w:val="000000" w:themeColor="text1"/>
          <w:sz w:val="20"/>
          <w:szCs w:val="20"/>
        </w:rPr>
        <w:t xml:space="preserve"> </w:t>
      </w:r>
      <w:r w:rsidRPr="00764508">
        <w:rPr>
          <w:rFonts w:ascii="Arial" w:hAnsi="Arial" w:cs="Arial"/>
          <w:b/>
          <w:color w:val="000000" w:themeColor="text1"/>
          <w:sz w:val="20"/>
          <w:szCs w:val="20"/>
        </w:rPr>
        <w:t>(AF IREP)</w:t>
      </w:r>
      <w:r w:rsidRPr="00764508">
        <w:rPr>
          <w:rFonts w:ascii="Arial" w:hAnsi="Arial" w:cs="Arial"/>
          <w:color w:val="000000" w:themeColor="text1"/>
          <w:sz w:val="20"/>
          <w:szCs w:val="20"/>
        </w:rPr>
        <w:t xml:space="preserve"> aims at the rehabilitation of 50 kilometers of selected main and </w:t>
      </w:r>
      <w:r w:rsidR="005902E1">
        <w:rPr>
          <w:rFonts w:ascii="Arial" w:hAnsi="Arial" w:cs="Arial"/>
          <w:color w:val="000000" w:themeColor="text1"/>
          <w:sz w:val="20"/>
          <w:szCs w:val="20"/>
        </w:rPr>
        <w:t xml:space="preserve">60km </w:t>
      </w:r>
      <w:r w:rsidRPr="00764508">
        <w:rPr>
          <w:rFonts w:ascii="Arial" w:hAnsi="Arial" w:cs="Arial"/>
          <w:color w:val="000000" w:themeColor="text1"/>
          <w:sz w:val="20"/>
          <w:szCs w:val="20"/>
        </w:rPr>
        <w:t xml:space="preserve">secondary canals, reducing water loss between primary intake and the on-farm system from 23 to 11 percent. </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jc w:val="both"/>
        <w:rPr>
          <w:rFonts w:ascii="Arial" w:hAnsi="Arial" w:cs="Arial"/>
          <w:color w:val="000000" w:themeColor="text1"/>
          <w:sz w:val="20"/>
          <w:szCs w:val="20"/>
        </w:rPr>
      </w:pPr>
      <w:r w:rsidRPr="00764508">
        <w:rPr>
          <w:rFonts w:ascii="Arial" w:hAnsi="Arial" w:cs="Arial"/>
          <w:color w:val="000000" w:themeColor="text1"/>
          <w:sz w:val="20"/>
          <w:szCs w:val="20"/>
        </w:rPr>
        <w:t xml:space="preserve">The transmission line connecting two key generation centers - Hrazdan Thermal Power Plant and Vorotan Cascade of hydropower plants, serving large electricity consumers in the central-eastern part of the country, will be replaced under the </w:t>
      </w:r>
      <w:r w:rsidRPr="00764508">
        <w:rPr>
          <w:rFonts w:ascii="Arial" w:hAnsi="Arial" w:cs="Arial"/>
          <w:b/>
          <w:i/>
          <w:color w:val="000000" w:themeColor="text1"/>
          <w:sz w:val="20"/>
          <w:szCs w:val="20"/>
        </w:rPr>
        <w:t>Electricity Supply Reliability</w:t>
      </w:r>
      <w:r w:rsidRPr="00764508">
        <w:rPr>
          <w:rFonts w:ascii="Arial" w:hAnsi="Arial" w:cs="Arial"/>
          <w:b/>
          <w:color w:val="000000" w:themeColor="text1"/>
          <w:sz w:val="20"/>
          <w:szCs w:val="20"/>
        </w:rPr>
        <w:t xml:space="preserve"> </w:t>
      </w:r>
      <w:r w:rsidRPr="00764508">
        <w:rPr>
          <w:rFonts w:ascii="Arial" w:hAnsi="Arial" w:cs="Arial"/>
          <w:b/>
          <w:i/>
          <w:color w:val="000000" w:themeColor="text1"/>
          <w:sz w:val="20"/>
          <w:szCs w:val="20"/>
        </w:rPr>
        <w:t>Project</w:t>
      </w:r>
      <w:r w:rsidRPr="00764508">
        <w:rPr>
          <w:rFonts w:ascii="Arial" w:hAnsi="Arial" w:cs="Arial"/>
          <w:b/>
          <w:color w:val="000000" w:themeColor="text1"/>
          <w:sz w:val="20"/>
          <w:szCs w:val="20"/>
        </w:rPr>
        <w:t xml:space="preserve"> (ESRP</w:t>
      </w:r>
      <w:r w:rsidRPr="00764508">
        <w:rPr>
          <w:rFonts w:ascii="Arial" w:hAnsi="Arial" w:cs="Arial"/>
          <w:color w:val="000000" w:themeColor="text1"/>
          <w:sz w:val="20"/>
          <w:szCs w:val="20"/>
        </w:rPr>
        <w:t>), thus, increasing the reliability and capacity of the transmission network. The line was constructed in 1956–58 and has been in service since then.</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pStyle w:val="NoSpacing"/>
        <w:ind w:firstLine="0"/>
        <w:rPr>
          <w:rFonts w:ascii="Arial" w:hAnsi="Arial" w:cs="Arial"/>
          <w:color w:val="000000" w:themeColor="text1"/>
          <w:sz w:val="20"/>
          <w:szCs w:val="20"/>
        </w:rPr>
      </w:pPr>
      <w:r w:rsidRPr="00764508">
        <w:rPr>
          <w:rFonts w:ascii="Arial" w:hAnsi="Arial" w:cs="Arial"/>
          <w:color w:val="000000" w:themeColor="text1"/>
          <w:sz w:val="20"/>
          <w:szCs w:val="20"/>
        </w:rPr>
        <w:t xml:space="preserve">The </w:t>
      </w:r>
      <w:r w:rsidRPr="00764508">
        <w:rPr>
          <w:rFonts w:ascii="Arial" w:hAnsi="Arial" w:cs="Arial"/>
          <w:b/>
          <w:i/>
          <w:color w:val="000000" w:themeColor="text1"/>
          <w:sz w:val="20"/>
          <w:szCs w:val="20"/>
        </w:rPr>
        <w:t>Geothermal Energy</w:t>
      </w:r>
      <w:r w:rsidRPr="00764508">
        <w:rPr>
          <w:rFonts w:ascii="Arial" w:hAnsi="Arial" w:cs="Arial"/>
          <w:b/>
          <w:color w:val="000000" w:themeColor="text1"/>
          <w:sz w:val="20"/>
          <w:szCs w:val="20"/>
        </w:rPr>
        <w:t xml:space="preserve"> </w:t>
      </w:r>
      <w:r w:rsidRPr="00764508">
        <w:rPr>
          <w:rFonts w:ascii="Arial" w:hAnsi="Arial" w:cs="Arial"/>
          <w:b/>
          <w:i/>
          <w:color w:val="000000" w:themeColor="text1"/>
          <w:sz w:val="20"/>
          <w:szCs w:val="20"/>
        </w:rPr>
        <w:t>Project</w:t>
      </w:r>
      <w:r w:rsidRPr="00764508">
        <w:rPr>
          <w:rFonts w:ascii="Arial" w:hAnsi="Arial" w:cs="Arial"/>
          <w:b/>
          <w:color w:val="000000" w:themeColor="text1"/>
          <w:sz w:val="20"/>
          <w:szCs w:val="20"/>
        </w:rPr>
        <w:t xml:space="preserve"> (GEP)</w:t>
      </w:r>
      <w:r w:rsidRPr="00764508">
        <w:rPr>
          <w:rFonts w:ascii="Arial" w:hAnsi="Arial" w:cs="Arial"/>
          <w:color w:val="000000" w:themeColor="text1"/>
          <w:sz w:val="20"/>
          <w:szCs w:val="20"/>
        </w:rPr>
        <w:t xml:space="preserve"> has already completed the preliminary economic and financial assessment of previously identified Karkar site’s potential, which combined with a number of technical studies, will be used prior to exploratory drilling. </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pStyle w:val="NoSpacing"/>
        <w:ind w:firstLine="0"/>
        <w:rPr>
          <w:rFonts w:ascii="Arial" w:hAnsi="Arial" w:cs="Arial"/>
          <w:color w:val="000000" w:themeColor="text1"/>
          <w:sz w:val="20"/>
          <w:szCs w:val="20"/>
        </w:rPr>
      </w:pPr>
      <w:r w:rsidRPr="00764508">
        <w:rPr>
          <w:rFonts w:ascii="Arial" w:hAnsi="Arial" w:cs="Arial"/>
          <w:color w:val="000000" w:themeColor="text1"/>
          <w:sz w:val="20"/>
          <w:szCs w:val="20"/>
        </w:rPr>
        <w:t xml:space="preserve">By supporting energy efficiency investments in 120 schools, hospitals and other public facilities, the </w:t>
      </w:r>
      <w:r w:rsidRPr="00764508">
        <w:rPr>
          <w:rFonts w:ascii="Arial" w:hAnsi="Arial" w:cs="Arial"/>
          <w:b/>
          <w:i/>
          <w:color w:val="000000" w:themeColor="text1"/>
          <w:sz w:val="20"/>
          <w:szCs w:val="20"/>
        </w:rPr>
        <w:t>Energy Efficiency Project (EEP)</w:t>
      </w:r>
      <w:r w:rsidRPr="00764508">
        <w:rPr>
          <w:rFonts w:ascii="Arial" w:hAnsi="Arial" w:cs="Arial"/>
          <w:color w:val="000000" w:themeColor="text1"/>
          <w:sz w:val="20"/>
          <w:szCs w:val="20"/>
        </w:rPr>
        <w:t xml:space="preserve"> will develop, test and disseminate replicable and sustainable models for energy efficiency service provision and stimulate the market by creating demand for relevant equipment and services.</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autoSpaceDE w:val="0"/>
        <w:autoSpaceDN w:val="0"/>
        <w:adjustRightInd w:val="0"/>
        <w:jc w:val="both"/>
        <w:rPr>
          <w:rFonts w:ascii="Arial" w:hAnsi="Arial" w:cs="Arial"/>
          <w:color w:val="000000" w:themeColor="text1"/>
          <w:sz w:val="20"/>
          <w:szCs w:val="20"/>
        </w:rPr>
      </w:pPr>
      <w:r w:rsidRPr="00764508">
        <w:rPr>
          <w:rFonts w:ascii="Arial" w:hAnsi="Arial" w:cs="Arial"/>
          <w:color w:val="000000" w:themeColor="text1"/>
          <w:sz w:val="20"/>
          <w:szCs w:val="20"/>
        </w:rPr>
        <w:t xml:space="preserve">So far under the </w:t>
      </w:r>
      <w:r w:rsidRPr="00764508">
        <w:rPr>
          <w:rFonts w:ascii="Arial" w:hAnsi="Arial" w:cs="Arial"/>
          <w:b/>
          <w:i/>
          <w:color w:val="000000" w:themeColor="text1"/>
          <w:sz w:val="20"/>
          <w:szCs w:val="20"/>
        </w:rPr>
        <w:t>Community Agricultural Resource Management and Competitiveness</w:t>
      </w:r>
      <w:r w:rsidRPr="00764508">
        <w:rPr>
          <w:rFonts w:ascii="Arial" w:hAnsi="Arial" w:cs="Arial"/>
          <w:b/>
          <w:color w:val="000000" w:themeColor="text1"/>
          <w:sz w:val="20"/>
          <w:szCs w:val="20"/>
        </w:rPr>
        <w:t xml:space="preserve"> (CARMAC)</w:t>
      </w:r>
      <w:r w:rsidRPr="00764508">
        <w:rPr>
          <w:rFonts w:ascii="Arial" w:hAnsi="Arial" w:cs="Arial"/>
          <w:color w:val="000000" w:themeColor="text1"/>
          <w:sz w:val="20"/>
          <w:szCs w:val="20"/>
        </w:rPr>
        <w:t xml:space="preserve"> </w:t>
      </w:r>
      <w:r w:rsidRPr="00764508">
        <w:rPr>
          <w:rFonts w:ascii="Arial" w:hAnsi="Arial" w:cs="Arial"/>
          <w:b/>
          <w:i/>
          <w:color w:val="000000" w:themeColor="text1"/>
          <w:sz w:val="20"/>
          <w:szCs w:val="20"/>
        </w:rPr>
        <w:t>Project</w:t>
      </w:r>
      <w:r w:rsidRPr="00764508">
        <w:rPr>
          <w:rFonts w:ascii="Arial" w:hAnsi="Arial" w:cs="Arial"/>
          <w:color w:val="000000" w:themeColor="text1"/>
          <w:sz w:val="20"/>
          <w:szCs w:val="20"/>
        </w:rPr>
        <w:t xml:space="preserve"> 49 Pasture Users’ Associations (PUAs) have been established in communities along with 31 pasture management plans that have been completed with 18 being in the process. This would be evidenced through improved productivity and sustainability of the pasture/livestock livelihood systems in 55 communities.</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autoSpaceDE w:val="0"/>
        <w:autoSpaceDN w:val="0"/>
        <w:adjustRightInd w:val="0"/>
        <w:jc w:val="both"/>
        <w:rPr>
          <w:rFonts w:ascii="Arial" w:hAnsi="Arial" w:cs="Arial"/>
          <w:color w:val="000000" w:themeColor="text1"/>
          <w:sz w:val="20"/>
          <w:szCs w:val="20"/>
        </w:rPr>
      </w:pPr>
      <w:r w:rsidRPr="00764508">
        <w:rPr>
          <w:rFonts w:ascii="Arial" w:hAnsi="Arial" w:cs="Arial"/>
          <w:color w:val="000000" w:themeColor="text1"/>
          <w:sz w:val="20"/>
          <w:szCs w:val="20"/>
        </w:rPr>
        <w:t xml:space="preserve">Under the </w:t>
      </w:r>
      <w:r w:rsidRPr="00764508">
        <w:rPr>
          <w:rFonts w:ascii="Arial" w:hAnsi="Arial" w:cs="Arial"/>
          <w:b/>
          <w:i/>
          <w:color w:val="000000" w:themeColor="text1"/>
          <w:sz w:val="20"/>
          <w:szCs w:val="20"/>
        </w:rPr>
        <w:t>Access to Finance for Small and Medium Enterprises</w:t>
      </w:r>
      <w:r w:rsidRPr="00764508">
        <w:rPr>
          <w:rFonts w:ascii="Arial" w:hAnsi="Arial" w:cs="Arial"/>
          <w:color w:val="000000" w:themeColor="text1"/>
          <w:sz w:val="20"/>
          <w:szCs w:val="20"/>
        </w:rPr>
        <w:t xml:space="preserve"> </w:t>
      </w:r>
      <w:r w:rsidRPr="00764508">
        <w:rPr>
          <w:rFonts w:ascii="Arial" w:hAnsi="Arial" w:cs="Arial"/>
          <w:b/>
          <w:color w:val="000000" w:themeColor="text1"/>
          <w:sz w:val="20"/>
          <w:szCs w:val="20"/>
        </w:rPr>
        <w:t>(AFSME)</w:t>
      </w:r>
      <w:r w:rsidRPr="00764508">
        <w:rPr>
          <w:rFonts w:ascii="Arial" w:hAnsi="Arial" w:cs="Arial"/>
          <w:color w:val="000000" w:themeColor="text1"/>
          <w:sz w:val="20"/>
          <w:szCs w:val="20"/>
        </w:rPr>
        <w:t xml:space="preserve"> </w:t>
      </w:r>
      <w:r w:rsidRPr="00764508">
        <w:rPr>
          <w:rFonts w:ascii="Arial" w:hAnsi="Arial" w:cs="Arial"/>
          <w:b/>
          <w:i/>
          <w:color w:val="000000" w:themeColor="text1"/>
          <w:sz w:val="20"/>
          <w:szCs w:val="20"/>
        </w:rPr>
        <w:t>Project</w:t>
      </w:r>
      <w:r w:rsidRPr="00764508">
        <w:rPr>
          <w:rFonts w:ascii="Arial" w:hAnsi="Arial" w:cs="Arial"/>
          <w:color w:val="000000" w:themeColor="text1"/>
          <w:sz w:val="20"/>
          <w:szCs w:val="20"/>
        </w:rPr>
        <w:t xml:space="preserve"> 6000 SMEs have received loans in the amount of $85 million USD for development projects through 15 local banks and financing organizations. As of end-2012, loans have been provided cumulatively to SMEs across all regions, operating in the trade, agricultural, production, and service sectors for both investment and working capital needs. The original amount for AFSME was $50 million USD. However, it has reached the current level of financing through the revolving fund created under this project.</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jc w:val="both"/>
        <w:rPr>
          <w:rFonts w:ascii="Arial" w:hAnsi="Arial" w:cs="Arial"/>
          <w:color w:val="000000" w:themeColor="text1"/>
          <w:sz w:val="20"/>
          <w:szCs w:val="20"/>
        </w:rPr>
      </w:pPr>
      <w:r w:rsidRPr="00764508">
        <w:rPr>
          <w:rFonts w:ascii="Arial" w:hAnsi="Arial" w:cs="Arial"/>
          <w:color w:val="000000" w:themeColor="text1"/>
          <w:sz w:val="20"/>
          <w:szCs w:val="20"/>
        </w:rPr>
        <w:t xml:space="preserve">The </w:t>
      </w:r>
      <w:r w:rsidRPr="00764508">
        <w:rPr>
          <w:rFonts w:ascii="Arial" w:hAnsi="Arial" w:cs="Arial"/>
          <w:b/>
          <w:i/>
          <w:color w:val="000000" w:themeColor="text1"/>
          <w:sz w:val="20"/>
          <w:szCs w:val="20"/>
        </w:rPr>
        <w:t>Armenia Social Investment Fund</w:t>
      </w:r>
      <w:r w:rsidRPr="00764508">
        <w:rPr>
          <w:rFonts w:ascii="Arial" w:hAnsi="Arial" w:cs="Arial"/>
          <w:b/>
          <w:color w:val="000000" w:themeColor="text1"/>
          <w:sz w:val="20"/>
          <w:szCs w:val="20"/>
        </w:rPr>
        <w:t xml:space="preserve"> (ASIF) III</w:t>
      </w:r>
      <w:r w:rsidRPr="00764508">
        <w:rPr>
          <w:rFonts w:ascii="Arial" w:hAnsi="Arial" w:cs="Arial"/>
          <w:color w:val="000000" w:themeColor="text1"/>
          <w:sz w:val="20"/>
          <w:szCs w:val="20"/>
        </w:rPr>
        <w:t xml:space="preserve"> </w:t>
      </w:r>
      <w:r w:rsidRPr="00764508">
        <w:rPr>
          <w:rFonts w:ascii="Arial" w:hAnsi="Arial" w:cs="Arial"/>
          <w:b/>
          <w:i/>
          <w:color w:val="000000" w:themeColor="text1"/>
          <w:sz w:val="20"/>
          <w:szCs w:val="20"/>
        </w:rPr>
        <w:t>Project</w:t>
      </w:r>
      <w:r w:rsidRPr="00764508">
        <w:rPr>
          <w:rFonts w:ascii="Arial" w:hAnsi="Arial" w:cs="Arial"/>
          <w:color w:val="000000" w:themeColor="text1"/>
          <w:sz w:val="20"/>
          <w:szCs w:val="20"/>
        </w:rPr>
        <w:t xml:space="preserve"> has so far successfully completed 233 community infrastructure micro-projects (community-cultural centers, schools, kindergartens, health care centers, potable water supply and irrigation systems) and created 447,000 person-days of employment, as well as generating US$ 7.23 million in wage income. </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pStyle w:val="NoSpacing"/>
        <w:ind w:firstLine="0"/>
        <w:rPr>
          <w:rFonts w:ascii="Arial" w:hAnsi="Arial" w:cs="Arial"/>
          <w:color w:val="000000" w:themeColor="text1"/>
          <w:sz w:val="20"/>
          <w:szCs w:val="20"/>
        </w:rPr>
      </w:pPr>
      <w:r w:rsidRPr="00764508">
        <w:rPr>
          <w:rFonts w:ascii="Arial" w:hAnsi="Arial" w:cs="Arial"/>
          <w:color w:val="000000" w:themeColor="text1"/>
          <w:sz w:val="20"/>
          <w:szCs w:val="20"/>
        </w:rPr>
        <w:lastRenderedPageBreak/>
        <w:t>Eight regional medical centers (MCs) in Kotayk (Hrazdan MC), Tavush (Ijevan MC), Armavir (Armavir MC), Ararat (Ararat MC), Syunik (Goris MC), Aragatsotn (Aparan MC), Geg</w:t>
      </w:r>
      <w:r w:rsidRPr="00764508">
        <w:rPr>
          <w:rFonts w:ascii="Sylfaen" w:hAnsi="Sylfaen" w:cs="Sylfaen"/>
          <w:color w:val="000000" w:themeColor="text1"/>
          <w:sz w:val="20"/>
          <w:szCs w:val="20"/>
        </w:rPr>
        <w:t>հ</w:t>
      </w:r>
      <w:r w:rsidRPr="00764508">
        <w:rPr>
          <w:rFonts w:ascii="Arial" w:hAnsi="Arial" w:cs="Arial"/>
          <w:color w:val="000000" w:themeColor="text1"/>
          <w:sz w:val="20"/>
          <w:szCs w:val="20"/>
        </w:rPr>
        <w:t xml:space="preserve">arkunik (Gavar MC), and Gyumri (Medical Center of Shirak) with overall 642,100 population — were renovated and constructed, as well as provided with modern medical equipment and furniture under the </w:t>
      </w:r>
      <w:r w:rsidRPr="00764508">
        <w:rPr>
          <w:rFonts w:ascii="Arial" w:hAnsi="Arial" w:cs="Arial"/>
          <w:b/>
          <w:i/>
          <w:color w:val="000000" w:themeColor="text1"/>
          <w:sz w:val="20"/>
          <w:szCs w:val="20"/>
        </w:rPr>
        <w:t>Second Health Modernization</w:t>
      </w:r>
      <w:r w:rsidRPr="00764508">
        <w:rPr>
          <w:rFonts w:ascii="Arial" w:hAnsi="Arial" w:cs="Arial"/>
          <w:b/>
          <w:color w:val="000000" w:themeColor="text1"/>
          <w:sz w:val="20"/>
          <w:szCs w:val="20"/>
        </w:rPr>
        <w:t xml:space="preserve"> </w:t>
      </w:r>
      <w:r w:rsidRPr="00764508">
        <w:rPr>
          <w:rFonts w:ascii="Arial" w:hAnsi="Arial" w:cs="Arial"/>
          <w:b/>
          <w:i/>
          <w:color w:val="000000" w:themeColor="text1"/>
          <w:sz w:val="20"/>
          <w:szCs w:val="20"/>
        </w:rPr>
        <w:t>Project</w:t>
      </w:r>
      <w:r w:rsidRPr="00764508">
        <w:rPr>
          <w:rFonts w:ascii="Arial" w:hAnsi="Arial" w:cs="Arial"/>
          <w:b/>
          <w:color w:val="000000" w:themeColor="text1"/>
          <w:sz w:val="20"/>
          <w:szCs w:val="20"/>
        </w:rPr>
        <w:t xml:space="preserve"> (HMP).</w:t>
      </w:r>
      <w:r w:rsidRPr="00764508">
        <w:rPr>
          <w:rFonts w:ascii="Arial" w:hAnsi="Arial" w:cs="Arial"/>
          <w:color w:val="000000" w:themeColor="text1"/>
          <w:sz w:val="20"/>
          <w:szCs w:val="20"/>
        </w:rPr>
        <w:t xml:space="preserve"> Also Lori region’s Alaverdi MC (47,600 population) was provided with modern medical equipment and furniture. </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autoSpaceDE w:val="0"/>
        <w:autoSpaceDN w:val="0"/>
        <w:adjustRightInd w:val="0"/>
        <w:jc w:val="both"/>
        <w:rPr>
          <w:rFonts w:ascii="Arial" w:hAnsi="Arial" w:cs="Arial"/>
          <w:color w:val="000000" w:themeColor="text1"/>
          <w:sz w:val="20"/>
          <w:szCs w:val="20"/>
        </w:rPr>
      </w:pPr>
      <w:r w:rsidRPr="00764508">
        <w:rPr>
          <w:rFonts w:ascii="Arial" w:hAnsi="Arial" w:cs="Arial"/>
          <w:color w:val="000000" w:themeColor="text1"/>
          <w:sz w:val="20"/>
          <w:szCs w:val="20"/>
        </w:rPr>
        <w:t xml:space="preserve">The </w:t>
      </w:r>
      <w:r w:rsidRPr="00764508">
        <w:rPr>
          <w:rFonts w:ascii="Arial" w:hAnsi="Arial" w:cs="Arial"/>
          <w:b/>
          <w:i/>
          <w:color w:val="000000" w:themeColor="text1"/>
          <w:sz w:val="20"/>
          <w:szCs w:val="20"/>
        </w:rPr>
        <w:t>Second Judicial Reform</w:t>
      </w:r>
      <w:r w:rsidRPr="00764508">
        <w:rPr>
          <w:rFonts w:ascii="Arial" w:hAnsi="Arial" w:cs="Arial"/>
          <w:b/>
          <w:color w:val="000000" w:themeColor="text1"/>
          <w:sz w:val="20"/>
          <w:szCs w:val="20"/>
        </w:rPr>
        <w:t xml:space="preserve"> </w:t>
      </w:r>
      <w:r w:rsidRPr="00764508">
        <w:rPr>
          <w:rFonts w:ascii="Arial" w:hAnsi="Arial" w:cs="Arial"/>
          <w:b/>
          <w:i/>
          <w:color w:val="000000" w:themeColor="text1"/>
          <w:sz w:val="20"/>
          <w:szCs w:val="20"/>
        </w:rPr>
        <w:t>Project</w:t>
      </w:r>
      <w:r w:rsidRPr="00764508">
        <w:rPr>
          <w:rFonts w:ascii="Arial" w:hAnsi="Arial" w:cs="Arial"/>
          <w:color w:val="000000" w:themeColor="text1"/>
          <w:sz w:val="20"/>
          <w:szCs w:val="20"/>
        </w:rPr>
        <w:t xml:space="preserve"> </w:t>
      </w:r>
      <w:r w:rsidRPr="00764508">
        <w:rPr>
          <w:rFonts w:ascii="Arial" w:hAnsi="Arial" w:cs="Arial"/>
          <w:b/>
          <w:color w:val="000000" w:themeColor="text1"/>
          <w:sz w:val="20"/>
          <w:szCs w:val="20"/>
        </w:rPr>
        <w:t>(JRP-II)</w:t>
      </w:r>
      <w:r w:rsidRPr="00764508">
        <w:rPr>
          <w:rFonts w:ascii="Arial" w:hAnsi="Arial" w:cs="Arial"/>
          <w:color w:val="000000" w:themeColor="text1"/>
          <w:sz w:val="20"/>
          <w:szCs w:val="20"/>
        </w:rPr>
        <w:t xml:space="preserve"> supported the rehabilitation of 14 courthouses totaling 19,000 square meters of area. </w:t>
      </w:r>
      <w:r w:rsidRPr="00764508">
        <w:rPr>
          <w:rFonts w:ascii="Arial" w:hAnsi="Arial" w:cs="Arial"/>
          <w:bCs/>
          <w:color w:val="000000" w:themeColor="text1"/>
          <w:sz w:val="20"/>
          <w:szCs w:val="20"/>
        </w:rPr>
        <w:t>70 public information kiosks providing access to judicial services and information were installed in Yerevan and regional courts and selected administrative buildings. About 10 additional kiosks for the regions will be installed by December 31, 2012.</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autoSpaceDE w:val="0"/>
        <w:autoSpaceDN w:val="0"/>
        <w:adjustRightInd w:val="0"/>
        <w:jc w:val="both"/>
        <w:rPr>
          <w:rFonts w:ascii="Arial" w:hAnsi="Arial" w:cs="Arial"/>
          <w:color w:val="000000" w:themeColor="text1"/>
          <w:sz w:val="20"/>
          <w:szCs w:val="20"/>
        </w:rPr>
      </w:pPr>
      <w:r w:rsidRPr="00764508">
        <w:rPr>
          <w:rFonts w:ascii="Arial" w:hAnsi="Arial" w:cs="Arial"/>
          <w:color w:val="000000" w:themeColor="text1"/>
          <w:sz w:val="20"/>
          <w:szCs w:val="20"/>
        </w:rPr>
        <w:t xml:space="preserve">Through </w:t>
      </w:r>
      <w:r w:rsidRPr="00764508">
        <w:rPr>
          <w:rFonts w:ascii="Arial" w:hAnsi="Arial" w:cs="Arial"/>
          <w:b/>
          <w:i/>
          <w:color w:val="000000" w:themeColor="text1"/>
          <w:sz w:val="20"/>
          <w:szCs w:val="20"/>
        </w:rPr>
        <w:t>Second Public Sector Modernization</w:t>
      </w:r>
      <w:r w:rsidRPr="00764508">
        <w:rPr>
          <w:rFonts w:ascii="Arial" w:hAnsi="Arial" w:cs="Arial"/>
          <w:b/>
          <w:color w:val="000000" w:themeColor="text1"/>
          <w:sz w:val="20"/>
          <w:szCs w:val="20"/>
        </w:rPr>
        <w:t xml:space="preserve"> Project</w:t>
      </w:r>
      <w:r w:rsidRPr="00764508">
        <w:rPr>
          <w:rFonts w:ascii="Arial" w:hAnsi="Arial" w:cs="Arial"/>
          <w:color w:val="000000" w:themeColor="text1"/>
          <w:sz w:val="20"/>
          <w:szCs w:val="20"/>
        </w:rPr>
        <w:t xml:space="preserve"> </w:t>
      </w:r>
      <w:r w:rsidRPr="00764508">
        <w:rPr>
          <w:rFonts w:ascii="Arial" w:hAnsi="Arial" w:cs="Arial"/>
          <w:b/>
          <w:color w:val="000000" w:themeColor="text1"/>
          <w:sz w:val="20"/>
          <w:szCs w:val="20"/>
        </w:rPr>
        <w:t>(PSMP-II)</w:t>
      </w:r>
      <w:r w:rsidRPr="00764508">
        <w:rPr>
          <w:rFonts w:ascii="Arial" w:hAnsi="Arial" w:cs="Arial"/>
          <w:color w:val="000000" w:themeColor="text1"/>
          <w:sz w:val="20"/>
          <w:szCs w:val="20"/>
        </w:rPr>
        <w:t xml:space="preserve"> an archiving system for the electronic document management system (Mulberry), operational in all ministries, all governors’ offices, and in other public administration bodies (totaling 50 entities), is launched. The Commission on Ethics of High-Ranking Officials was established in January 2012 as part of a policy dialogue on conflict of interest management reform. </w:t>
      </w:r>
      <w:r w:rsidRPr="00764508">
        <w:rPr>
          <w:rFonts w:ascii="Arial" w:hAnsi="Arial" w:cs="Arial"/>
          <w:bCs/>
          <w:color w:val="000000" w:themeColor="text1"/>
          <w:sz w:val="20"/>
          <w:szCs w:val="20"/>
        </w:rPr>
        <w:t>In April 2012, the Automated Information Retrieval System was launched in Traffic Police Service, facilitating transparent service delivery during registration of vehicles, receipt of plate numbers and driver licenses</w:t>
      </w:r>
    </w:p>
    <w:p w:rsidR="002549E8" w:rsidRPr="00764508" w:rsidRDefault="002549E8" w:rsidP="008C2054">
      <w:pPr>
        <w:autoSpaceDE w:val="0"/>
        <w:autoSpaceDN w:val="0"/>
        <w:adjustRightInd w:val="0"/>
        <w:jc w:val="both"/>
        <w:rPr>
          <w:rFonts w:ascii="Arial" w:hAnsi="Arial" w:cs="Arial"/>
          <w:color w:val="000000" w:themeColor="text1"/>
          <w:sz w:val="20"/>
          <w:szCs w:val="20"/>
        </w:rPr>
      </w:pPr>
    </w:p>
    <w:p w:rsidR="002549E8" w:rsidRPr="00764508" w:rsidRDefault="002549E8" w:rsidP="008C2054">
      <w:pPr>
        <w:pStyle w:val="NoSpacing"/>
        <w:ind w:firstLine="0"/>
        <w:rPr>
          <w:rFonts w:ascii="Arial" w:hAnsi="Arial" w:cs="Arial"/>
          <w:color w:val="000000" w:themeColor="text1"/>
          <w:sz w:val="20"/>
          <w:szCs w:val="20"/>
        </w:rPr>
      </w:pPr>
      <w:r w:rsidRPr="00764508">
        <w:rPr>
          <w:rFonts w:ascii="Arial" w:hAnsi="Arial" w:cs="Arial"/>
          <w:color w:val="000000" w:themeColor="text1"/>
          <w:sz w:val="20"/>
          <w:szCs w:val="20"/>
        </w:rPr>
        <w:t xml:space="preserve">The second phase of the </w:t>
      </w:r>
      <w:r w:rsidRPr="00764508">
        <w:rPr>
          <w:rFonts w:ascii="Arial" w:hAnsi="Arial" w:cs="Arial"/>
          <w:b/>
          <w:i/>
          <w:color w:val="000000" w:themeColor="text1"/>
          <w:sz w:val="20"/>
          <w:szCs w:val="20"/>
        </w:rPr>
        <w:t>Education Quality and Relevance</w:t>
      </w:r>
      <w:r w:rsidRPr="00764508">
        <w:rPr>
          <w:rFonts w:ascii="Arial" w:hAnsi="Arial" w:cs="Arial"/>
          <w:b/>
          <w:color w:val="000000" w:themeColor="text1"/>
          <w:sz w:val="20"/>
          <w:szCs w:val="20"/>
        </w:rPr>
        <w:t xml:space="preserve"> </w:t>
      </w:r>
      <w:r w:rsidRPr="00764508">
        <w:rPr>
          <w:rFonts w:ascii="Arial" w:hAnsi="Arial" w:cs="Arial"/>
          <w:b/>
          <w:i/>
          <w:color w:val="000000" w:themeColor="text1"/>
          <w:sz w:val="20"/>
          <w:szCs w:val="20"/>
        </w:rPr>
        <w:t>Project</w:t>
      </w:r>
      <w:r w:rsidRPr="00764508">
        <w:rPr>
          <w:rFonts w:ascii="Arial" w:hAnsi="Arial" w:cs="Arial"/>
          <w:b/>
          <w:color w:val="000000" w:themeColor="text1"/>
          <w:sz w:val="20"/>
          <w:szCs w:val="20"/>
        </w:rPr>
        <w:t xml:space="preserve"> (EQRP)</w:t>
      </w:r>
      <w:r w:rsidRPr="00764508">
        <w:rPr>
          <w:rFonts w:ascii="Arial" w:hAnsi="Arial" w:cs="Arial"/>
          <w:color w:val="000000" w:themeColor="text1"/>
          <w:sz w:val="20"/>
          <w:szCs w:val="20"/>
        </w:rPr>
        <w:t xml:space="preserve"> continues to focus on the reform in education system, through support to 194 pre-school education micro-projects, benefiting over 4,250 students, increase of (256 kilobytes to 2 megabytes) network capacity in the schools, receipt of hardware in 1,360 schools, creation of resource centers in 91 school libraries, provision of grants to 10 public universities for the establishment of internal Quality Assurance system.</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pStyle w:val="NoSpacing"/>
        <w:ind w:firstLine="0"/>
        <w:rPr>
          <w:rFonts w:ascii="Arial" w:hAnsi="Arial" w:cs="Arial"/>
          <w:color w:val="000000" w:themeColor="text1"/>
          <w:sz w:val="20"/>
          <w:szCs w:val="20"/>
        </w:rPr>
      </w:pPr>
      <w:r w:rsidRPr="00764508">
        <w:rPr>
          <w:rFonts w:ascii="Arial" w:hAnsi="Arial" w:cs="Arial"/>
          <w:color w:val="000000" w:themeColor="text1"/>
          <w:sz w:val="20"/>
          <w:szCs w:val="20"/>
        </w:rPr>
        <w:t xml:space="preserve">The </w:t>
      </w:r>
      <w:r w:rsidRPr="00764508">
        <w:rPr>
          <w:rFonts w:ascii="Arial" w:hAnsi="Arial" w:cs="Arial"/>
          <w:b/>
          <w:i/>
          <w:color w:val="000000" w:themeColor="text1"/>
          <w:sz w:val="20"/>
          <w:szCs w:val="20"/>
        </w:rPr>
        <w:t>Social Protection Administration</w:t>
      </w:r>
      <w:r w:rsidRPr="00764508">
        <w:rPr>
          <w:rFonts w:ascii="Arial" w:hAnsi="Arial" w:cs="Arial"/>
          <w:b/>
          <w:color w:val="000000" w:themeColor="text1"/>
          <w:sz w:val="20"/>
          <w:szCs w:val="20"/>
        </w:rPr>
        <w:t xml:space="preserve"> </w:t>
      </w:r>
      <w:r w:rsidRPr="00764508">
        <w:rPr>
          <w:rFonts w:ascii="Arial" w:hAnsi="Arial" w:cs="Arial"/>
          <w:b/>
          <w:i/>
          <w:color w:val="000000" w:themeColor="text1"/>
          <w:sz w:val="20"/>
          <w:szCs w:val="20"/>
        </w:rPr>
        <w:t>Projec</w:t>
      </w:r>
      <w:r w:rsidRPr="00764508">
        <w:rPr>
          <w:rFonts w:ascii="Arial" w:hAnsi="Arial" w:cs="Arial"/>
          <w:i/>
          <w:color w:val="000000" w:themeColor="text1"/>
          <w:sz w:val="20"/>
          <w:szCs w:val="20"/>
        </w:rPr>
        <w:t>t</w:t>
      </w:r>
      <w:r w:rsidRPr="00764508">
        <w:rPr>
          <w:rFonts w:ascii="Arial" w:hAnsi="Arial" w:cs="Arial"/>
          <w:b/>
          <w:color w:val="000000" w:themeColor="text1"/>
          <w:sz w:val="20"/>
          <w:szCs w:val="20"/>
        </w:rPr>
        <w:t xml:space="preserve"> (SPAP) </w:t>
      </w:r>
      <w:r w:rsidRPr="00764508">
        <w:rPr>
          <w:rFonts w:ascii="Arial" w:hAnsi="Arial" w:cs="Arial"/>
          <w:color w:val="000000" w:themeColor="text1"/>
          <w:sz w:val="20"/>
          <w:szCs w:val="20"/>
        </w:rPr>
        <w:t>has addressed a key challenge of a modern social protection administration and has already created results by increasing the share of pensioners and social assistance beneficiaries who are paid in a well-timed manner, with both indicators reaching 99.7% performance (2012 survey data). Gyumri Center for the Disabled is functional. Overall satisfaction of beneficiaries with social service and benefits has improved, reaching 98.9 percent (2012 survey data).</w:t>
      </w:r>
    </w:p>
    <w:p w:rsidR="002549E8" w:rsidRPr="00764508" w:rsidRDefault="002549E8" w:rsidP="008C2054">
      <w:pPr>
        <w:pStyle w:val="NoSpacing"/>
        <w:ind w:firstLine="0"/>
        <w:rPr>
          <w:rFonts w:ascii="Arial" w:hAnsi="Arial" w:cs="Arial"/>
          <w:color w:val="000000" w:themeColor="text1"/>
          <w:sz w:val="20"/>
          <w:szCs w:val="20"/>
        </w:rPr>
      </w:pPr>
    </w:p>
    <w:p w:rsidR="002549E8" w:rsidRPr="00764508" w:rsidRDefault="002549E8" w:rsidP="008C2054">
      <w:pPr>
        <w:autoSpaceDE w:val="0"/>
        <w:autoSpaceDN w:val="0"/>
        <w:adjustRightInd w:val="0"/>
        <w:jc w:val="both"/>
        <w:rPr>
          <w:rFonts w:ascii="Arial" w:hAnsi="Arial" w:cs="Arial"/>
          <w:color w:val="000000" w:themeColor="text1"/>
          <w:sz w:val="20"/>
          <w:szCs w:val="20"/>
        </w:rPr>
      </w:pPr>
      <w:r w:rsidRPr="00764508">
        <w:rPr>
          <w:rFonts w:ascii="Arial" w:hAnsi="Arial" w:cs="Arial"/>
          <w:color w:val="000000" w:themeColor="text1"/>
          <w:sz w:val="20"/>
          <w:szCs w:val="20"/>
        </w:rPr>
        <w:t>The</w:t>
      </w:r>
      <w:r w:rsidRPr="00764508">
        <w:rPr>
          <w:rFonts w:ascii="Arial" w:hAnsi="Arial" w:cs="Arial"/>
          <w:i/>
          <w:iCs/>
          <w:color w:val="000000" w:themeColor="text1"/>
          <w:sz w:val="20"/>
          <w:szCs w:val="20"/>
        </w:rPr>
        <w:t xml:space="preserve"> </w:t>
      </w:r>
      <w:r w:rsidRPr="00764508">
        <w:rPr>
          <w:rFonts w:ascii="Arial" w:hAnsi="Arial" w:cs="Arial"/>
          <w:b/>
          <w:i/>
          <w:iCs/>
          <w:color w:val="000000" w:themeColor="text1"/>
          <w:sz w:val="20"/>
          <w:szCs w:val="20"/>
        </w:rPr>
        <w:t>E-Society and Innovation for Competitiveness</w:t>
      </w:r>
      <w:r w:rsidRPr="00764508">
        <w:rPr>
          <w:rFonts w:ascii="Arial" w:hAnsi="Arial" w:cs="Arial"/>
          <w:b/>
          <w:color w:val="000000" w:themeColor="text1"/>
          <w:sz w:val="20"/>
          <w:szCs w:val="20"/>
        </w:rPr>
        <w:t xml:space="preserve"> </w:t>
      </w:r>
      <w:r w:rsidRPr="00764508">
        <w:rPr>
          <w:rFonts w:ascii="Arial" w:hAnsi="Arial" w:cs="Arial"/>
          <w:b/>
          <w:i/>
          <w:color w:val="000000" w:themeColor="text1"/>
          <w:sz w:val="20"/>
          <w:szCs w:val="20"/>
        </w:rPr>
        <w:t xml:space="preserve">Project </w:t>
      </w:r>
      <w:r w:rsidRPr="00764508">
        <w:rPr>
          <w:rFonts w:ascii="Arial" w:hAnsi="Arial" w:cs="Arial"/>
          <w:b/>
          <w:color w:val="000000" w:themeColor="text1"/>
          <w:sz w:val="20"/>
          <w:szCs w:val="20"/>
        </w:rPr>
        <w:t>(EIC)</w:t>
      </w:r>
      <w:r w:rsidRPr="00764508">
        <w:rPr>
          <w:rFonts w:ascii="Arial" w:hAnsi="Arial" w:cs="Arial"/>
          <w:color w:val="000000" w:themeColor="text1"/>
          <w:sz w:val="20"/>
          <w:szCs w:val="20"/>
        </w:rPr>
        <w:t xml:space="preserve"> has enabled the creation of electronic certificates/IDs system in Armenia, as well as fostered the development of Gyumri Technology Center (GTC) by creating advanced physical infrastructure, which is undergoing renovation and is scheduled to open by the end of 2013.</w:t>
      </w:r>
    </w:p>
    <w:p w:rsidR="00944C0E" w:rsidRPr="00764508" w:rsidRDefault="00944C0E" w:rsidP="008C2054">
      <w:pPr>
        <w:pStyle w:val="Heading7"/>
        <w:spacing w:before="0" w:beforeAutospacing="0" w:after="0" w:afterAutospacing="0"/>
        <w:ind w:right="-72"/>
        <w:jc w:val="both"/>
        <w:rPr>
          <w:rFonts w:ascii="Arial" w:hAnsi="Arial" w:cs="Arial"/>
          <w:b/>
          <w:bCs/>
          <w:color w:val="000000" w:themeColor="text1"/>
          <w:sz w:val="20"/>
          <w:szCs w:val="20"/>
        </w:rPr>
      </w:pPr>
    </w:p>
    <w:p w:rsidR="00BE5D5B" w:rsidRPr="00764508" w:rsidRDefault="00994F85" w:rsidP="00E06D0C">
      <w:pPr>
        <w:pStyle w:val="Heading7"/>
        <w:spacing w:before="0" w:beforeAutospacing="0" w:after="0" w:afterAutospacing="0"/>
        <w:ind w:right="-72"/>
        <w:rPr>
          <w:rFonts w:ascii="Arial" w:hAnsi="Arial" w:cs="Arial"/>
          <w:color w:val="000000" w:themeColor="text1"/>
          <w:sz w:val="20"/>
          <w:szCs w:val="20"/>
          <w:lang w:val="fr-FR"/>
        </w:rPr>
      </w:pPr>
      <w:r w:rsidRPr="00764508">
        <w:rPr>
          <w:rFonts w:ascii="Arial" w:hAnsi="Arial" w:cs="Arial"/>
          <w:b/>
          <w:bCs/>
          <w:color w:val="000000" w:themeColor="text1"/>
          <w:sz w:val="20"/>
          <w:szCs w:val="20"/>
          <w:lang w:val="fr-FR"/>
        </w:rPr>
        <w:t>Contacts:</w:t>
      </w:r>
      <w:r w:rsidRPr="00764508">
        <w:rPr>
          <w:rFonts w:ascii="Arial" w:hAnsi="Arial" w:cs="Arial"/>
          <w:color w:val="000000" w:themeColor="text1"/>
          <w:sz w:val="20"/>
          <w:szCs w:val="20"/>
          <w:lang w:val="fr-FR"/>
        </w:rPr>
        <w:t xml:space="preserve"> </w:t>
      </w:r>
    </w:p>
    <w:p w:rsidR="00F60552" w:rsidRPr="00764508" w:rsidRDefault="00994F85" w:rsidP="00F60552">
      <w:pPr>
        <w:ind w:right="-72"/>
        <w:rPr>
          <w:rFonts w:ascii="Arial" w:hAnsi="Arial" w:cs="Arial"/>
          <w:color w:val="000000" w:themeColor="text1"/>
          <w:sz w:val="20"/>
          <w:szCs w:val="20"/>
          <w:lang w:val="fr-FR"/>
        </w:rPr>
      </w:pPr>
      <w:r w:rsidRPr="00764508">
        <w:rPr>
          <w:rFonts w:ascii="Arial" w:hAnsi="Arial" w:cs="Arial"/>
          <w:color w:val="000000" w:themeColor="text1"/>
          <w:sz w:val="20"/>
          <w:szCs w:val="20"/>
          <w:lang w:val="fr-FR"/>
        </w:rPr>
        <w:t xml:space="preserve">Vigen Sargsyan, (374 10) 52 09 92, </w:t>
      </w:r>
      <w:hyperlink r:id="rId10" w:history="1">
        <w:r w:rsidRPr="00764508">
          <w:rPr>
            <w:rStyle w:val="Hyperlink"/>
            <w:rFonts w:ascii="Arial" w:hAnsi="Arial" w:cs="Arial"/>
            <w:color w:val="000000" w:themeColor="text1"/>
            <w:sz w:val="20"/>
            <w:szCs w:val="20"/>
            <w:lang w:val="fr-FR"/>
          </w:rPr>
          <w:t>vsargsyan@worldbank.org</w:t>
        </w:r>
      </w:hyperlink>
      <w:r w:rsidRPr="00764508">
        <w:rPr>
          <w:rFonts w:ascii="Arial" w:hAnsi="Arial" w:cs="Arial"/>
          <w:color w:val="000000" w:themeColor="text1"/>
          <w:sz w:val="20"/>
          <w:szCs w:val="20"/>
          <w:lang w:val="fr-FR"/>
        </w:rPr>
        <w:t>;</w:t>
      </w:r>
    </w:p>
    <w:p w:rsidR="004C5ECB" w:rsidRPr="00764508" w:rsidRDefault="004C5ECB" w:rsidP="00BE5D5B">
      <w:pPr>
        <w:ind w:right="-72"/>
        <w:rPr>
          <w:rFonts w:ascii="Arial" w:hAnsi="Arial" w:cs="Arial"/>
          <w:color w:val="000000" w:themeColor="text1"/>
          <w:sz w:val="20"/>
          <w:szCs w:val="20"/>
          <w:lang w:val="fr-FR"/>
        </w:rPr>
      </w:pPr>
    </w:p>
    <w:p w:rsidR="00336C7D" w:rsidRPr="00764508" w:rsidRDefault="00336C7D" w:rsidP="005576C3">
      <w:pPr>
        <w:jc w:val="center"/>
        <w:rPr>
          <w:rFonts w:ascii="Arial" w:hAnsi="Arial" w:cs="Arial"/>
          <w:iCs/>
          <w:color w:val="000000" w:themeColor="text1"/>
          <w:sz w:val="20"/>
          <w:szCs w:val="20"/>
          <w:lang w:val="fr-FR"/>
        </w:rPr>
      </w:pPr>
    </w:p>
    <w:p w:rsidR="004C5ECB" w:rsidRPr="00764508" w:rsidRDefault="004C5ECB" w:rsidP="004C5ECB">
      <w:pPr>
        <w:jc w:val="center"/>
        <w:rPr>
          <w:rFonts w:ascii="Arial" w:hAnsi="Arial" w:cs="Arial"/>
          <w:color w:val="000000" w:themeColor="text1"/>
          <w:sz w:val="20"/>
          <w:szCs w:val="20"/>
        </w:rPr>
      </w:pPr>
      <w:r w:rsidRPr="00764508">
        <w:rPr>
          <w:rFonts w:ascii="Arial" w:hAnsi="Arial" w:cs="Arial"/>
          <w:color w:val="000000" w:themeColor="text1"/>
          <w:sz w:val="20"/>
          <w:szCs w:val="20"/>
        </w:rPr>
        <w:t>For more information on the World Bank’s activities in Armenia, please visit:</w:t>
      </w:r>
      <w:r w:rsidRPr="00764508">
        <w:rPr>
          <w:rFonts w:ascii="Arial" w:hAnsi="Arial" w:cs="Arial"/>
          <w:color w:val="000000" w:themeColor="text1"/>
          <w:sz w:val="20"/>
          <w:szCs w:val="20"/>
        </w:rPr>
        <w:br/>
      </w:r>
      <w:r w:rsidRPr="00764508">
        <w:rPr>
          <w:rFonts w:ascii="Arial" w:hAnsi="Arial" w:cs="Arial"/>
          <w:color w:val="000000" w:themeColor="text1"/>
          <w:sz w:val="20"/>
          <w:szCs w:val="20"/>
          <w:u w:val="single"/>
        </w:rPr>
        <w:t>http://www.worldbank.org.am</w:t>
      </w:r>
    </w:p>
    <w:p w:rsidR="004C5ECB" w:rsidRPr="00764508" w:rsidRDefault="004C5ECB" w:rsidP="004C5ECB">
      <w:pPr>
        <w:rPr>
          <w:rFonts w:ascii="Arial" w:hAnsi="Arial" w:cs="Arial"/>
          <w:i/>
          <w:iCs/>
          <w:color w:val="000000" w:themeColor="text1"/>
          <w:sz w:val="20"/>
          <w:szCs w:val="20"/>
        </w:rPr>
      </w:pPr>
    </w:p>
    <w:p w:rsidR="005B2393" w:rsidRPr="00764508" w:rsidRDefault="005B2393" w:rsidP="006D700D">
      <w:pPr>
        <w:pStyle w:val="ListParagraph"/>
        <w:ind w:left="0"/>
        <w:jc w:val="both"/>
        <w:rPr>
          <w:bCs/>
          <w:color w:val="000000" w:themeColor="text1"/>
        </w:rPr>
      </w:pPr>
    </w:p>
    <w:p w:rsidR="005B2393" w:rsidRPr="00764508" w:rsidRDefault="005B2393" w:rsidP="005B2393">
      <w:pPr>
        <w:shd w:val="clear" w:color="auto" w:fill="FFFFFF"/>
        <w:adjustRightInd w:val="0"/>
        <w:rPr>
          <w:rFonts w:ascii="Verdana" w:hAnsi="Verdana"/>
          <w:color w:val="000000" w:themeColor="text1"/>
        </w:rPr>
      </w:pPr>
    </w:p>
    <w:p w:rsidR="002D2CC7" w:rsidRPr="00764508" w:rsidRDefault="002D2CC7" w:rsidP="002D2CC7">
      <w:pPr>
        <w:autoSpaceDE w:val="0"/>
        <w:autoSpaceDN w:val="0"/>
        <w:adjustRightInd w:val="0"/>
        <w:rPr>
          <w:color w:val="000000" w:themeColor="text1"/>
        </w:rPr>
      </w:pPr>
    </w:p>
    <w:p w:rsidR="002D2CC7" w:rsidRPr="00764508" w:rsidRDefault="002D2CC7" w:rsidP="002D2CC7">
      <w:pPr>
        <w:autoSpaceDE w:val="0"/>
        <w:autoSpaceDN w:val="0"/>
        <w:adjustRightInd w:val="0"/>
        <w:rPr>
          <w:color w:val="000000" w:themeColor="text1"/>
        </w:rPr>
      </w:pPr>
    </w:p>
    <w:p w:rsidR="00E54042" w:rsidRPr="00764508" w:rsidRDefault="00E54042" w:rsidP="00E54042">
      <w:pPr>
        <w:pStyle w:val="ListParagraph"/>
        <w:ind w:left="0"/>
        <w:jc w:val="both"/>
        <w:rPr>
          <w:rFonts w:ascii="Arial" w:hAnsi="Arial" w:cs="Arial"/>
          <w:bCs/>
          <w:color w:val="000000" w:themeColor="text1"/>
          <w:sz w:val="20"/>
          <w:szCs w:val="20"/>
        </w:rPr>
      </w:pPr>
    </w:p>
    <w:sectPr w:rsidR="00E54042" w:rsidRPr="00764508" w:rsidSect="00701B17">
      <w:pgSz w:w="12240" w:h="15840"/>
      <w:pgMar w:top="1440" w:right="1440" w:bottom="1440" w:left="13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3C" w:rsidRDefault="007B623C">
      <w:r>
        <w:separator/>
      </w:r>
    </w:p>
  </w:endnote>
  <w:endnote w:type="continuationSeparator" w:id="0">
    <w:p w:rsidR="007B623C" w:rsidRDefault="007B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3C" w:rsidRDefault="007B623C">
      <w:r>
        <w:separator/>
      </w:r>
    </w:p>
  </w:footnote>
  <w:footnote w:type="continuationSeparator" w:id="0">
    <w:p w:rsidR="007B623C" w:rsidRDefault="007B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2D"/>
    <w:multiLevelType w:val="multilevel"/>
    <w:tmpl w:val="F08A8260"/>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tabs>
          <w:tab w:val="num" w:pos="720"/>
        </w:tabs>
        <w:ind w:left="36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90674"/>
    <w:multiLevelType w:val="hybridMultilevel"/>
    <w:tmpl w:val="9E70D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E43F98"/>
    <w:multiLevelType w:val="hybridMultilevel"/>
    <w:tmpl w:val="569640EC"/>
    <w:lvl w:ilvl="0" w:tplc="EB688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D2569"/>
    <w:multiLevelType w:val="hybridMultilevel"/>
    <w:tmpl w:val="B980F454"/>
    <w:lvl w:ilvl="0" w:tplc="308A7E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E61894"/>
    <w:multiLevelType w:val="hybridMultilevel"/>
    <w:tmpl w:val="4AF0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9F5739"/>
    <w:multiLevelType w:val="hybridMultilevel"/>
    <w:tmpl w:val="D446FA68"/>
    <w:lvl w:ilvl="0" w:tplc="201E8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A3ECE"/>
    <w:multiLevelType w:val="hybridMultilevel"/>
    <w:tmpl w:val="5970A06A"/>
    <w:lvl w:ilvl="0" w:tplc="8AF69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87F31"/>
    <w:multiLevelType w:val="hybridMultilevel"/>
    <w:tmpl w:val="C1B8405E"/>
    <w:lvl w:ilvl="0" w:tplc="E3D280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97596"/>
    <w:multiLevelType w:val="hybridMultilevel"/>
    <w:tmpl w:val="AA50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5"/>
  </w:num>
  <w:num w:numId="6">
    <w:abstractNumId w:val="2"/>
  </w:num>
  <w:num w:numId="7">
    <w:abstractNumId w:val="0"/>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A"/>
    <w:rsid w:val="000032A7"/>
    <w:rsid w:val="00017718"/>
    <w:rsid w:val="0002615F"/>
    <w:rsid w:val="000265F2"/>
    <w:rsid w:val="00050E1D"/>
    <w:rsid w:val="00061FC2"/>
    <w:rsid w:val="0006653D"/>
    <w:rsid w:val="00080666"/>
    <w:rsid w:val="000977B3"/>
    <w:rsid w:val="00097F87"/>
    <w:rsid w:val="000B7AF9"/>
    <w:rsid w:val="000C09C7"/>
    <w:rsid w:val="000D178B"/>
    <w:rsid w:val="000E0A3A"/>
    <w:rsid w:val="000F15F1"/>
    <w:rsid w:val="000F42DF"/>
    <w:rsid w:val="000F501D"/>
    <w:rsid w:val="000F6955"/>
    <w:rsid w:val="00100938"/>
    <w:rsid w:val="00104C2E"/>
    <w:rsid w:val="00104F47"/>
    <w:rsid w:val="00120655"/>
    <w:rsid w:val="00120B57"/>
    <w:rsid w:val="0012294A"/>
    <w:rsid w:val="001279FC"/>
    <w:rsid w:val="001447D6"/>
    <w:rsid w:val="001504CF"/>
    <w:rsid w:val="00152152"/>
    <w:rsid w:val="00153632"/>
    <w:rsid w:val="00177CEB"/>
    <w:rsid w:val="00182EBE"/>
    <w:rsid w:val="00190581"/>
    <w:rsid w:val="00194BC8"/>
    <w:rsid w:val="00195142"/>
    <w:rsid w:val="001B18D4"/>
    <w:rsid w:val="001B5396"/>
    <w:rsid w:val="001B598C"/>
    <w:rsid w:val="001C0010"/>
    <w:rsid w:val="001C0B90"/>
    <w:rsid w:val="001C5091"/>
    <w:rsid w:val="001C6631"/>
    <w:rsid w:val="001C6F5E"/>
    <w:rsid w:val="001D26E3"/>
    <w:rsid w:val="001D427C"/>
    <w:rsid w:val="001E3977"/>
    <w:rsid w:val="00216903"/>
    <w:rsid w:val="00222091"/>
    <w:rsid w:val="00232BA5"/>
    <w:rsid w:val="00246B31"/>
    <w:rsid w:val="002549E8"/>
    <w:rsid w:val="00266612"/>
    <w:rsid w:val="002715D4"/>
    <w:rsid w:val="00280398"/>
    <w:rsid w:val="0028796D"/>
    <w:rsid w:val="002919EF"/>
    <w:rsid w:val="00296E3B"/>
    <w:rsid w:val="002A616C"/>
    <w:rsid w:val="002B5B00"/>
    <w:rsid w:val="002C4BBC"/>
    <w:rsid w:val="002D204A"/>
    <w:rsid w:val="002D2806"/>
    <w:rsid w:val="002D2CC7"/>
    <w:rsid w:val="002E3CA2"/>
    <w:rsid w:val="002E5395"/>
    <w:rsid w:val="002E7F3F"/>
    <w:rsid w:val="002F7B37"/>
    <w:rsid w:val="00311FEC"/>
    <w:rsid w:val="00315157"/>
    <w:rsid w:val="00316B07"/>
    <w:rsid w:val="00317FF6"/>
    <w:rsid w:val="00320813"/>
    <w:rsid w:val="003252E7"/>
    <w:rsid w:val="0033201F"/>
    <w:rsid w:val="003336AD"/>
    <w:rsid w:val="00334E88"/>
    <w:rsid w:val="00336C7D"/>
    <w:rsid w:val="00345112"/>
    <w:rsid w:val="00346B04"/>
    <w:rsid w:val="00386BAA"/>
    <w:rsid w:val="00393D12"/>
    <w:rsid w:val="003A207F"/>
    <w:rsid w:val="003A60BE"/>
    <w:rsid w:val="003E0296"/>
    <w:rsid w:val="003E0489"/>
    <w:rsid w:val="003F558E"/>
    <w:rsid w:val="00416C6F"/>
    <w:rsid w:val="004256F6"/>
    <w:rsid w:val="00435AF2"/>
    <w:rsid w:val="00437E62"/>
    <w:rsid w:val="00457361"/>
    <w:rsid w:val="00466DA8"/>
    <w:rsid w:val="00467DC9"/>
    <w:rsid w:val="00471655"/>
    <w:rsid w:val="004755E0"/>
    <w:rsid w:val="0049417E"/>
    <w:rsid w:val="00497360"/>
    <w:rsid w:val="004A2705"/>
    <w:rsid w:val="004C5ECB"/>
    <w:rsid w:val="004D3631"/>
    <w:rsid w:val="004E5D88"/>
    <w:rsid w:val="00501DF1"/>
    <w:rsid w:val="005122EE"/>
    <w:rsid w:val="00514697"/>
    <w:rsid w:val="0052030E"/>
    <w:rsid w:val="00531374"/>
    <w:rsid w:val="00554639"/>
    <w:rsid w:val="005576C3"/>
    <w:rsid w:val="005718D8"/>
    <w:rsid w:val="00573406"/>
    <w:rsid w:val="00577F73"/>
    <w:rsid w:val="0058572B"/>
    <w:rsid w:val="005902E1"/>
    <w:rsid w:val="005B2393"/>
    <w:rsid w:val="005B5846"/>
    <w:rsid w:val="005C229E"/>
    <w:rsid w:val="005D37A8"/>
    <w:rsid w:val="005E13BA"/>
    <w:rsid w:val="00602311"/>
    <w:rsid w:val="006237A6"/>
    <w:rsid w:val="00627C6D"/>
    <w:rsid w:val="00634624"/>
    <w:rsid w:val="006730F3"/>
    <w:rsid w:val="00674BED"/>
    <w:rsid w:val="00682D4D"/>
    <w:rsid w:val="00690786"/>
    <w:rsid w:val="00692D4E"/>
    <w:rsid w:val="006A54B1"/>
    <w:rsid w:val="006A736A"/>
    <w:rsid w:val="006B320B"/>
    <w:rsid w:val="006B7B51"/>
    <w:rsid w:val="006D700D"/>
    <w:rsid w:val="00701B17"/>
    <w:rsid w:val="00703C3C"/>
    <w:rsid w:val="00716666"/>
    <w:rsid w:val="0072031F"/>
    <w:rsid w:val="007277E5"/>
    <w:rsid w:val="0075207D"/>
    <w:rsid w:val="00764508"/>
    <w:rsid w:val="00775DB4"/>
    <w:rsid w:val="00780975"/>
    <w:rsid w:val="0078161C"/>
    <w:rsid w:val="00795004"/>
    <w:rsid w:val="007A0BE2"/>
    <w:rsid w:val="007B623C"/>
    <w:rsid w:val="007C35CA"/>
    <w:rsid w:val="007D1F60"/>
    <w:rsid w:val="007D6E9D"/>
    <w:rsid w:val="007D76EA"/>
    <w:rsid w:val="007E03D5"/>
    <w:rsid w:val="007F0BB3"/>
    <w:rsid w:val="0080390E"/>
    <w:rsid w:val="0080460E"/>
    <w:rsid w:val="0083171F"/>
    <w:rsid w:val="00865BCD"/>
    <w:rsid w:val="00873D77"/>
    <w:rsid w:val="0088167B"/>
    <w:rsid w:val="00890613"/>
    <w:rsid w:val="00892B1D"/>
    <w:rsid w:val="00897012"/>
    <w:rsid w:val="008A41D9"/>
    <w:rsid w:val="008B47E8"/>
    <w:rsid w:val="008B5CD7"/>
    <w:rsid w:val="008C2054"/>
    <w:rsid w:val="009015AF"/>
    <w:rsid w:val="00904FD6"/>
    <w:rsid w:val="00944C0E"/>
    <w:rsid w:val="00947971"/>
    <w:rsid w:val="00954D24"/>
    <w:rsid w:val="00962DCD"/>
    <w:rsid w:val="0097508C"/>
    <w:rsid w:val="00982636"/>
    <w:rsid w:val="00992630"/>
    <w:rsid w:val="00994F85"/>
    <w:rsid w:val="009B3252"/>
    <w:rsid w:val="009E5877"/>
    <w:rsid w:val="009E6F90"/>
    <w:rsid w:val="009F3B84"/>
    <w:rsid w:val="009F62BA"/>
    <w:rsid w:val="009F765B"/>
    <w:rsid w:val="00A0789C"/>
    <w:rsid w:val="00A22286"/>
    <w:rsid w:val="00A33917"/>
    <w:rsid w:val="00A42A57"/>
    <w:rsid w:val="00A52985"/>
    <w:rsid w:val="00A66151"/>
    <w:rsid w:val="00A67102"/>
    <w:rsid w:val="00A67D52"/>
    <w:rsid w:val="00A727D2"/>
    <w:rsid w:val="00A753CC"/>
    <w:rsid w:val="00A85267"/>
    <w:rsid w:val="00AA1370"/>
    <w:rsid w:val="00AD108A"/>
    <w:rsid w:val="00AE0413"/>
    <w:rsid w:val="00AE60B5"/>
    <w:rsid w:val="00AF1C06"/>
    <w:rsid w:val="00AF7430"/>
    <w:rsid w:val="00B34159"/>
    <w:rsid w:val="00B4194B"/>
    <w:rsid w:val="00B5411C"/>
    <w:rsid w:val="00B57B05"/>
    <w:rsid w:val="00B66433"/>
    <w:rsid w:val="00BA23C0"/>
    <w:rsid w:val="00BC347A"/>
    <w:rsid w:val="00BD2701"/>
    <w:rsid w:val="00BD40B1"/>
    <w:rsid w:val="00BE0609"/>
    <w:rsid w:val="00BE3464"/>
    <w:rsid w:val="00BE5D5B"/>
    <w:rsid w:val="00BF2196"/>
    <w:rsid w:val="00BF77FC"/>
    <w:rsid w:val="00C05BD7"/>
    <w:rsid w:val="00C1091D"/>
    <w:rsid w:val="00C370A1"/>
    <w:rsid w:val="00C45A4F"/>
    <w:rsid w:val="00C478D7"/>
    <w:rsid w:val="00C518F1"/>
    <w:rsid w:val="00C52EC9"/>
    <w:rsid w:val="00C56E22"/>
    <w:rsid w:val="00C5711D"/>
    <w:rsid w:val="00C613D4"/>
    <w:rsid w:val="00C65DD3"/>
    <w:rsid w:val="00C7226E"/>
    <w:rsid w:val="00C76AB2"/>
    <w:rsid w:val="00C81C6F"/>
    <w:rsid w:val="00C94AFE"/>
    <w:rsid w:val="00C95931"/>
    <w:rsid w:val="00C9764F"/>
    <w:rsid w:val="00CA38BD"/>
    <w:rsid w:val="00CC21CB"/>
    <w:rsid w:val="00CD6B71"/>
    <w:rsid w:val="00CF3400"/>
    <w:rsid w:val="00D00EB4"/>
    <w:rsid w:val="00D0300A"/>
    <w:rsid w:val="00D0618B"/>
    <w:rsid w:val="00D16F3D"/>
    <w:rsid w:val="00D22F57"/>
    <w:rsid w:val="00D33C01"/>
    <w:rsid w:val="00D45911"/>
    <w:rsid w:val="00D61D1F"/>
    <w:rsid w:val="00D70DAD"/>
    <w:rsid w:val="00D87EE1"/>
    <w:rsid w:val="00DA60D6"/>
    <w:rsid w:val="00DE5CDE"/>
    <w:rsid w:val="00DE60B9"/>
    <w:rsid w:val="00E0254C"/>
    <w:rsid w:val="00E036F6"/>
    <w:rsid w:val="00E0601F"/>
    <w:rsid w:val="00E06D0C"/>
    <w:rsid w:val="00E1459A"/>
    <w:rsid w:val="00E22DD1"/>
    <w:rsid w:val="00E417C8"/>
    <w:rsid w:val="00E44A3F"/>
    <w:rsid w:val="00E4662A"/>
    <w:rsid w:val="00E525FC"/>
    <w:rsid w:val="00E53F68"/>
    <w:rsid w:val="00E54042"/>
    <w:rsid w:val="00E5593C"/>
    <w:rsid w:val="00E55B88"/>
    <w:rsid w:val="00E60DC9"/>
    <w:rsid w:val="00E624E8"/>
    <w:rsid w:val="00E8126C"/>
    <w:rsid w:val="00E81976"/>
    <w:rsid w:val="00EA3019"/>
    <w:rsid w:val="00EA3C44"/>
    <w:rsid w:val="00EA6918"/>
    <w:rsid w:val="00EC7BC6"/>
    <w:rsid w:val="00ED4027"/>
    <w:rsid w:val="00EE2B57"/>
    <w:rsid w:val="00EF34E8"/>
    <w:rsid w:val="00EF59AD"/>
    <w:rsid w:val="00F47D69"/>
    <w:rsid w:val="00F5049E"/>
    <w:rsid w:val="00F5092F"/>
    <w:rsid w:val="00F554C6"/>
    <w:rsid w:val="00F56E3C"/>
    <w:rsid w:val="00F60552"/>
    <w:rsid w:val="00F94101"/>
    <w:rsid w:val="00FA75F0"/>
    <w:rsid w:val="00FB1FDC"/>
    <w:rsid w:val="00FE0D8D"/>
    <w:rsid w:val="00FE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4F"/>
    <w:rPr>
      <w:sz w:val="24"/>
      <w:szCs w:val="24"/>
    </w:rPr>
  </w:style>
  <w:style w:type="paragraph" w:styleId="Heading1">
    <w:name w:val="heading 1"/>
    <w:basedOn w:val="Normal"/>
    <w:next w:val="Normal"/>
    <w:link w:val="Heading1Char"/>
    <w:qFormat/>
    <w:rsid w:val="00E06D0C"/>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paragraph" w:styleId="BodyText">
    <w:name w:val="Body Text"/>
    <w:basedOn w:val="Normal"/>
    <w:link w:val="BodyTextChar"/>
    <w:uiPriority w:val="99"/>
    <w:unhideWhenUsed/>
    <w:rsid w:val="00E06D0C"/>
    <w:pPr>
      <w:spacing w:before="100" w:beforeAutospacing="1" w:after="100" w:afterAutospacing="1"/>
    </w:pPr>
  </w:style>
  <w:style w:type="character" w:customStyle="1" w:styleId="BodyTextChar">
    <w:name w:val="Body Text Char"/>
    <w:basedOn w:val="DefaultParagraphFont"/>
    <w:link w:val="BodyText"/>
    <w:uiPriority w:val="99"/>
    <w:rsid w:val="00E06D0C"/>
    <w:rPr>
      <w:sz w:val="24"/>
      <w:szCs w:val="24"/>
    </w:rPr>
  </w:style>
  <w:style w:type="character" w:customStyle="1" w:styleId="Heading1Char">
    <w:name w:val="Heading 1 Char"/>
    <w:basedOn w:val="DefaultParagraphFont"/>
    <w:link w:val="Heading1"/>
    <w:rsid w:val="00E06D0C"/>
    <w:rPr>
      <w:rFonts w:ascii="Cambria" w:eastAsia="Times New Roman" w:hAnsi="Cambria" w:cs="Times New Roman"/>
      <w:b/>
      <w:bCs/>
      <w:color w:val="365F91"/>
      <w:sz w:val="28"/>
      <w:szCs w:val="28"/>
    </w:rPr>
  </w:style>
  <w:style w:type="paragraph" w:styleId="NormalWeb">
    <w:name w:val="Normal (Web)"/>
    <w:basedOn w:val="Normal"/>
    <w:uiPriority w:val="99"/>
    <w:unhideWhenUsed/>
    <w:rsid w:val="004C5ECB"/>
    <w:pPr>
      <w:spacing w:before="100" w:beforeAutospacing="1" w:after="100" w:afterAutospacing="1"/>
    </w:pPr>
  </w:style>
  <w:style w:type="paragraph" w:styleId="ListParagraph">
    <w:name w:val="List Paragraph"/>
    <w:basedOn w:val="Normal"/>
    <w:uiPriority w:val="34"/>
    <w:qFormat/>
    <w:rsid w:val="004256F6"/>
    <w:pPr>
      <w:ind w:left="720"/>
      <w:contextualSpacing/>
    </w:pPr>
  </w:style>
  <w:style w:type="paragraph" w:customStyle="1" w:styleId="StyleJustified">
    <w:name w:val="Style Justified"/>
    <w:basedOn w:val="Normal"/>
    <w:rsid w:val="004256F6"/>
    <w:pPr>
      <w:jc w:val="both"/>
    </w:pPr>
    <w:rPr>
      <w:szCs w:val="20"/>
    </w:rPr>
  </w:style>
  <w:style w:type="character" w:styleId="CommentReference">
    <w:name w:val="annotation reference"/>
    <w:basedOn w:val="DefaultParagraphFont"/>
    <w:rsid w:val="0088167B"/>
    <w:rPr>
      <w:sz w:val="16"/>
      <w:szCs w:val="16"/>
    </w:rPr>
  </w:style>
  <w:style w:type="paragraph" w:styleId="CommentText">
    <w:name w:val="annotation text"/>
    <w:basedOn w:val="Normal"/>
    <w:link w:val="CommentTextChar"/>
    <w:rsid w:val="0088167B"/>
    <w:rPr>
      <w:sz w:val="20"/>
      <w:szCs w:val="20"/>
    </w:rPr>
  </w:style>
  <w:style w:type="character" w:customStyle="1" w:styleId="CommentTextChar">
    <w:name w:val="Comment Text Char"/>
    <w:basedOn w:val="DefaultParagraphFont"/>
    <w:link w:val="CommentText"/>
    <w:rsid w:val="0088167B"/>
  </w:style>
  <w:style w:type="paragraph" w:styleId="CommentSubject">
    <w:name w:val="annotation subject"/>
    <w:basedOn w:val="CommentText"/>
    <w:next w:val="CommentText"/>
    <w:link w:val="CommentSubjectChar"/>
    <w:rsid w:val="0088167B"/>
    <w:rPr>
      <w:b/>
      <w:bCs/>
    </w:rPr>
  </w:style>
  <w:style w:type="character" w:customStyle="1" w:styleId="CommentSubjectChar">
    <w:name w:val="Comment Subject Char"/>
    <w:basedOn w:val="CommentTextChar"/>
    <w:link w:val="CommentSubject"/>
    <w:rsid w:val="0088167B"/>
    <w:rPr>
      <w:b/>
      <w:bCs/>
    </w:rPr>
  </w:style>
  <w:style w:type="paragraph" w:styleId="FootnoteText">
    <w:name w:val="footnote text"/>
    <w:aliases w:val="single space,footnote text,fn,FOOTNOTES"/>
    <w:basedOn w:val="Normal"/>
    <w:link w:val="FootnoteTextChar"/>
    <w:rsid w:val="00393D12"/>
    <w:rPr>
      <w:sz w:val="20"/>
      <w:szCs w:val="20"/>
    </w:rPr>
  </w:style>
  <w:style w:type="character" w:customStyle="1" w:styleId="FootnoteTextChar">
    <w:name w:val="Footnote Text Char"/>
    <w:aliases w:val="single space Char,footnote text Char,fn Char,FOOTNOTES Char"/>
    <w:basedOn w:val="DefaultParagraphFont"/>
    <w:link w:val="FootnoteText"/>
    <w:rsid w:val="00393D12"/>
  </w:style>
  <w:style w:type="character" w:styleId="FootnoteReference">
    <w:name w:val="footnote reference"/>
    <w:aliases w:val="ftref,footnote ref"/>
    <w:basedOn w:val="DefaultParagraphFont"/>
    <w:uiPriority w:val="99"/>
    <w:rsid w:val="00393D12"/>
    <w:rPr>
      <w:vertAlign w:val="superscript"/>
    </w:rPr>
  </w:style>
  <w:style w:type="paragraph" w:customStyle="1" w:styleId="PDSHeading2">
    <w:name w:val="PDS Heading 2"/>
    <w:next w:val="Normal"/>
    <w:rsid w:val="00AD108A"/>
    <w:pPr>
      <w:keepNext/>
    </w:pPr>
    <w:rPr>
      <w:b/>
      <w:sz w:val="24"/>
    </w:rPr>
  </w:style>
  <w:style w:type="paragraph" w:customStyle="1" w:styleId="PDSHeading1">
    <w:name w:val="PDS Heading 1"/>
    <w:next w:val="PDSHeading2"/>
    <w:rsid w:val="00AD108A"/>
    <w:pPr>
      <w:keepNext/>
      <w:numPr>
        <w:numId w:val="7"/>
      </w:numPr>
      <w:outlineLvl w:val="0"/>
    </w:pPr>
    <w:rPr>
      <w:b/>
      <w:caps/>
      <w:sz w:val="24"/>
    </w:rPr>
  </w:style>
  <w:style w:type="paragraph" w:styleId="NoSpacing">
    <w:name w:val="No Spacing"/>
    <w:uiPriority w:val="1"/>
    <w:qFormat/>
    <w:rsid w:val="002549E8"/>
    <w:pPr>
      <w:ind w:firstLine="547"/>
      <w:jc w:val="both"/>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4F"/>
    <w:rPr>
      <w:sz w:val="24"/>
      <w:szCs w:val="24"/>
    </w:rPr>
  </w:style>
  <w:style w:type="paragraph" w:styleId="Heading1">
    <w:name w:val="heading 1"/>
    <w:basedOn w:val="Normal"/>
    <w:next w:val="Normal"/>
    <w:link w:val="Heading1Char"/>
    <w:qFormat/>
    <w:rsid w:val="00E06D0C"/>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paragraph" w:styleId="BodyText">
    <w:name w:val="Body Text"/>
    <w:basedOn w:val="Normal"/>
    <w:link w:val="BodyTextChar"/>
    <w:uiPriority w:val="99"/>
    <w:unhideWhenUsed/>
    <w:rsid w:val="00E06D0C"/>
    <w:pPr>
      <w:spacing w:before="100" w:beforeAutospacing="1" w:after="100" w:afterAutospacing="1"/>
    </w:pPr>
  </w:style>
  <w:style w:type="character" w:customStyle="1" w:styleId="BodyTextChar">
    <w:name w:val="Body Text Char"/>
    <w:basedOn w:val="DefaultParagraphFont"/>
    <w:link w:val="BodyText"/>
    <w:uiPriority w:val="99"/>
    <w:rsid w:val="00E06D0C"/>
    <w:rPr>
      <w:sz w:val="24"/>
      <w:szCs w:val="24"/>
    </w:rPr>
  </w:style>
  <w:style w:type="character" w:customStyle="1" w:styleId="Heading1Char">
    <w:name w:val="Heading 1 Char"/>
    <w:basedOn w:val="DefaultParagraphFont"/>
    <w:link w:val="Heading1"/>
    <w:rsid w:val="00E06D0C"/>
    <w:rPr>
      <w:rFonts w:ascii="Cambria" w:eastAsia="Times New Roman" w:hAnsi="Cambria" w:cs="Times New Roman"/>
      <w:b/>
      <w:bCs/>
      <w:color w:val="365F91"/>
      <w:sz w:val="28"/>
      <w:szCs w:val="28"/>
    </w:rPr>
  </w:style>
  <w:style w:type="paragraph" w:styleId="NormalWeb">
    <w:name w:val="Normal (Web)"/>
    <w:basedOn w:val="Normal"/>
    <w:uiPriority w:val="99"/>
    <w:unhideWhenUsed/>
    <w:rsid w:val="004C5ECB"/>
    <w:pPr>
      <w:spacing w:before="100" w:beforeAutospacing="1" w:after="100" w:afterAutospacing="1"/>
    </w:pPr>
  </w:style>
  <w:style w:type="paragraph" w:styleId="ListParagraph">
    <w:name w:val="List Paragraph"/>
    <w:basedOn w:val="Normal"/>
    <w:uiPriority w:val="34"/>
    <w:qFormat/>
    <w:rsid w:val="004256F6"/>
    <w:pPr>
      <w:ind w:left="720"/>
      <w:contextualSpacing/>
    </w:pPr>
  </w:style>
  <w:style w:type="paragraph" w:customStyle="1" w:styleId="StyleJustified">
    <w:name w:val="Style Justified"/>
    <w:basedOn w:val="Normal"/>
    <w:rsid w:val="004256F6"/>
    <w:pPr>
      <w:jc w:val="both"/>
    </w:pPr>
    <w:rPr>
      <w:szCs w:val="20"/>
    </w:rPr>
  </w:style>
  <w:style w:type="character" w:styleId="CommentReference">
    <w:name w:val="annotation reference"/>
    <w:basedOn w:val="DefaultParagraphFont"/>
    <w:rsid w:val="0088167B"/>
    <w:rPr>
      <w:sz w:val="16"/>
      <w:szCs w:val="16"/>
    </w:rPr>
  </w:style>
  <w:style w:type="paragraph" w:styleId="CommentText">
    <w:name w:val="annotation text"/>
    <w:basedOn w:val="Normal"/>
    <w:link w:val="CommentTextChar"/>
    <w:rsid w:val="0088167B"/>
    <w:rPr>
      <w:sz w:val="20"/>
      <w:szCs w:val="20"/>
    </w:rPr>
  </w:style>
  <w:style w:type="character" w:customStyle="1" w:styleId="CommentTextChar">
    <w:name w:val="Comment Text Char"/>
    <w:basedOn w:val="DefaultParagraphFont"/>
    <w:link w:val="CommentText"/>
    <w:rsid w:val="0088167B"/>
  </w:style>
  <w:style w:type="paragraph" w:styleId="CommentSubject">
    <w:name w:val="annotation subject"/>
    <w:basedOn w:val="CommentText"/>
    <w:next w:val="CommentText"/>
    <w:link w:val="CommentSubjectChar"/>
    <w:rsid w:val="0088167B"/>
    <w:rPr>
      <w:b/>
      <w:bCs/>
    </w:rPr>
  </w:style>
  <w:style w:type="character" w:customStyle="1" w:styleId="CommentSubjectChar">
    <w:name w:val="Comment Subject Char"/>
    <w:basedOn w:val="CommentTextChar"/>
    <w:link w:val="CommentSubject"/>
    <w:rsid w:val="0088167B"/>
    <w:rPr>
      <w:b/>
      <w:bCs/>
    </w:rPr>
  </w:style>
  <w:style w:type="paragraph" w:styleId="FootnoteText">
    <w:name w:val="footnote text"/>
    <w:aliases w:val="single space,footnote text,fn,FOOTNOTES"/>
    <w:basedOn w:val="Normal"/>
    <w:link w:val="FootnoteTextChar"/>
    <w:rsid w:val="00393D12"/>
    <w:rPr>
      <w:sz w:val="20"/>
      <w:szCs w:val="20"/>
    </w:rPr>
  </w:style>
  <w:style w:type="character" w:customStyle="1" w:styleId="FootnoteTextChar">
    <w:name w:val="Footnote Text Char"/>
    <w:aliases w:val="single space Char,footnote text Char,fn Char,FOOTNOTES Char"/>
    <w:basedOn w:val="DefaultParagraphFont"/>
    <w:link w:val="FootnoteText"/>
    <w:rsid w:val="00393D12"/>
  </w:style>
  <w:style w:type="character" w:styleId="FootnoteReference">
    <w:name w:val="footnote reference"/>
    <w:aliases w:val="ftref,footnote ref"/>
    <w:basedOn w:val="DefaultParagraphFont"/>
    <w:uiPriority w:val="99"/>
    <w:rsid w:val="00393D12"/>
    <w:rPr>
      <w:vertAlign w:val="superscript"/>
    </w:rPr>
  </w:style>
  <w:style w:type="paragraph" w:customStyle="1" w:styleId="PDSHeading2">
    <w:name w:val="PDS Heading 2"/>
    <w:next w:val="Normal"/>
    <w:rsid w:val="00AD108A"/>
    <w:pPr>
      <w:keepNext/>
    </w:pPr>
    <w:rPr>
      <w:b/>
      <w:sz w:val="24"/>
    </w:rPr>
  </w:style>
  <w:style w:type="paragraph" w:customStyle="1" w:styleId="PDSHeading1">
    <w:name w:val="PDS Heading 1"/>
    <w:next w:val="PDSHeading2"/>
    <w:rsid w:val="00AD108A"/>
    <w:pPr>
      <w:keepNext/>
      <w:numPr>
        <w:numId w:val="7"/>
      </w:numPr>
      <w:outlineLvl w:val="0"/>
    </w:pPr>
    <w:rPr>
      <w:b/>
      <w:caps/>
      <w:sz w:val="24"/>
    </w:rPr>
  </w:style>
  <w:style w:type="paragraph" w:styleId="NoSpacing">
    <w:name w:val="No Spacing"/>
    <w:uiPriority w:val="1"/>
    <w:qFormat/>
    <w:rsid w:val="002549E8"/>
    <w:pPr>
      <w:ind w:firstLine="547"/>
      <w:jc w:val="both"/>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5278">
      <w:bodyDiv w:val="1"/>
      <w:marLeft w:val="0"/>
      <w:marRight w:val="0"/>
      <w:marTop w:val="0"/>
      <w:marBottom w:val="0"/>
      <w:divBdr>
        <w:top w:val="none" w:sz="0" w:space="0" w:color="auto"/>
        <w:left w:val="none" w:sz="0" w:space="0" w:color="auto"/>
        <w:bottom w:val="none" w:sz="0" w:space="0" w:color="auto"/>
        <w:right w:val="none" w:sz="0" w:space="0" w:color="auto"/>
      </w:divBdr>
      <w:divsChild>
        <w:div w:id="1690065433">
          <w:marLeft w:val="0"/>
          <w:marRight w:val="0"/>
          <w:marTop w:val="0"/>
          <w:marBottom w:val="0"/>
          <w:divBdr>
            <w:top w:val="none" w:sz="0" w:space="0" w:color="auto"/>
            <w:left w:val="none" w:sz="0" w:space="0" w:color="auto"/>
            <w:bottom w:val="none" w:sz="0" w:space="0" w:color="auto"/>
            <w:right w:val="none" w:sz="0" w:space="0" w:color="auto"/>
          </w:divBdr>
          <w:divsChild>
            <w:div w:id="116223997">
              <w:marLeft w:val="0"/>
              <w:marRight w:val="0"/>
              <w:marTop w:val="0"/>
              <w:marBottom w:val="0"/>
              <w:divBdr>
                <w:top w:val="none" w:sz="0" w:space="0" w:color="auto"/>
                <w:left w:val="none" w:sz="0" w:space="0" w:color="auto"/>
                <w:bottom w:val="none" w:sz="0" w:space="0" w:color="auto"/>
                <w:right w:val="none" w:sz="0" w:space="0" w:color="auto"/>
              </w:divBdr>
              <w:divsChild>
                <w:div w:id="1369718592">
                  <w:marLeft w:val="0"/>
                  <w:marRight w:val="0"/>
                  <w:marTop w:val="0"/>
                  <w:marBottom w:val="0"/>
                  <w:divBdr>
                    <w:top w:val="none" w:sz="0" w:space="0" w:color="auto"/>
                    <w:left w:val="none" w:sz="0" w:space="0" w:color="auto"/>
                    <w:bottom w:val="none" w:sz="0" w:space="0" w:color="auto"/>
                    <w:right w:val="none" w:sz="0" w:space="0" w:color="auto"/>
                  </w:divBdr>
                  <w:divsChild>
                    <w:div w:id="554855467">
                      <w:marLeft w:val="0"/>
                      <w:marRight w:val="0"/>
                      <w:marTop w:val="0"/>
                      <w:marBottom w:val="0"/>
                      <w:divBdr>
                        <w:top w:val="none" w:sz="0" w:space="0" w:color="auto"/>
                        <w:left w:val="none" w:sz="0" w:space="0" w:color="auto"/>
                        <w:bottom w:val="none" w:sz="0" w:space="0" w:color="auto"/>
                        <w:right w:val="none" w:sz="0" w:space="0" w:color="auto"/>
                      </w:divBdr>
                      <w:divsChild>
                        <w:div w:id="790251439">
                          <w:marLeft w:val="0"/>
                          <w:marRight w:val="0"/>
                          <w:marTop w:val="0"/>
                          <w:marBottom w:val="0"/>
                          <w:divBdr>
                            <w:top w:val="none" w:sz="0" w:space="0" w:color="auto"/>
                            <w:left w:val="none" w:sz="0" w:space="0" w:color="auto"/>
                            <w:bottom w:val="none" w:sz="0" w:space="0" w:color="auto"/>
                            <w:right w:val="none" w:sz="0" w:space="0" w:color="auto"/>
                          </w:divBdr>
                          <w:divsChild>
                            <w:div w:id="2044859671">
                              <w:marLeft w:val="0"/>
                              <w:marRight w:val="0"/>
                              <w:marTop w:val="0"/>
                              <w:marBottom w:val="0"/>
                              <w:divBdr>
                                <w:top w:val="none" w:sz="0" w:space="0" w:color="auto"/>
                                <w:left w:val="none" w:sz="0" w:space="0" w:color="auto"/>
                                <w:bottom w:val="none" w:sz="0" w:space="0" w:color="auto"/>
                                <w:right w:val="none" w:sz="0" w:space="0" w:color="auto"/>
                              </w:divBdr>
                              <w:divsChild>
                                <w:div w:id="514198729">
                                  <w:marLeft w:val="0"/>
                                  <w:marRight w:val="0"/>
                                  <w:marTop w:val="0"/>
                                  <w:marBottom w:val="0"/>
                                  <w:divBdr>
                                    <w:top w:val="none" w:sz="0" w:space="0" w:color="auto"/>
                                    <w:left w:val="none" w:sz="0" w:space="0" w:color="auto"/>
                                    <w:bottom w:val="none" w:sz="0" w:space="0" w:color="auto"/>
                                    <w:right w:val="none" w:sz="0" w:space="0" w:color="auto"/>
                                  </w:divBdr>
                                  <w:divsChild>
                                    <w:div w:id="698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sargsyan@worldbank.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CEAA-2501-4C1C-A9BF-6527EBBF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10635</CharactersWithSpaces>
  <SharedDoc>false</SharedDoc>
  <HLinks>
    <vt:vector size="12" baseType="variant">
      <vt:variant>
        <vt:i4>7077967</vt:i4>
      </vt:variant>
      <vt:variant>
        <vt:i4>3</vt:i4>
      </vt:variant>
      <vt:variant>
        <vt:i4>0</vt:i4>
      </vt:variant>
      <vt:variant>
        <vt:i4>5</vt:i4>
      </vt:variant>
      <vt:variant>
        <vt:lpwstr>mailto:ncieslik@worldbank.org</vt:lpwstr>
      </vt:variant>
      <vt:variant>
        <vt:lpwstr/>
      </vt:variant>
      <vt:variant>
        <vt:i4>6684746</vt:i4>
      </vt:variant>
      <vt:variant>
        <vt:i4>0</vt:i4>
      </vt:variant>
      <vt:variant>
        <vt:i4>0</vt:i4>
      </vt:variant>
      <vt:variant>
        <vt:i4>5</vt:i4>
      </vt:variant>
      <vt:variant>
        <vt:lpwstr>mailto:vsargsyan@worldbank.org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Vigen Sargsyan</cp:lastModifiedBy>
  <cp:revision>2</cp:revision>
  <cp:lastPrinted>2012-11-29T14:58:00Z</cp:lastPrinted>
  <dcterms:created xsi:type="dcterms:W3CDTF">2012-12-04T11:50:00Z</dcterms:created>
  <dcterms:modified xsi:type="dcterms:W3CDTF">2012-12-04T11:50:00Z</dcterms:modified>
</cp:coreProperties>
</file>