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40" w:type="dxa"/>
        <w:tblLayout w:type="fixed"/>
        <w:tblCellMar>
          <w:left w:w="40" w:type="dxa"/>
          <w:right w:w="40" w:type="dxa"/>
        </w:tblCellMar>
        <w:tblLook w:val="0000"/>
      </w:tblPr>
      <w:tblGrid>
        <w:gridCol w:w="4648"/>
        <w:gridCol w:w="5148"/>
      </w:tblGrid>
      <w:tr w:rsidR="00BC347A" w:rsidRPr="00B61C3A" w:rsidTr="00E5593C">
        <w:tc>
          <w:tcPr>
            <w:tcW w:w="4648" w:type="dxa"/>
            <w:tcBorders>
              <w:top w:val="nil"/>
              <w:left w:val="nil"/>
              <w:bottom w:val="nil"/>
              <w:right w:val="nil"/>
            </w:tcBorders>
          </w:tcPr>
          <w:p w:rsidR="00BC347A" w:rsidRPr="00B61C3A" w:rsidRDefault="00F94101" w:rsidP="008B5CD7">
            <w:pPr>
              <w:keepNext/>
              <w:autoSpaceDE w:val="0"/>
              <w:autoSpaceDN w:val="0"/>
              <w:adjustRightInd w:val="0"/>
              <w:spacing w:line="240" w:lineRule="atLeast"/>
              <w:ind w:left="108"/>
              <w:jc w:val="center"/>
              <w:rPr>
                <w:rFonts w:ascii="Arial" w:hAnsi="Arial" w:cs="Arial"/>
              </w:rPr>
            </w:pPr>
            <w:r w:rsidRPr="00B61C3A">
              <w:rPr>
                <w:rFonts w:ascii="Arial" w:hAnsi="Arial" w:cs="Arial"/>
                <w:noProof/>
              </w:rPr>
              <w:drawing>
                <wp:inline distT="0" distB="0" distL="0" distR="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BC347A" w:rsidRPr="00B61C3A" w:rsidRDefault="00BC347A">
            <w:pPr>
              <w:autoSpaceDE w:val="0"/>
              <w:autoSpaceDN w:val="0"/>
              <w:adjustRightInd w:val="0"/>
              <w:spacing w:line="240" w:lineRule="atLeast"/>
              <w:ind w:left="108" w:right="108"/>
              <w:rPr>
                <w:rFonts w:ascii="Arial" w:hAnsi="Arial" w:cs="Arial"/>
                <w:b/>
                <w:bCs/>
                <w:color w:val="000000"/>
                <w:sz w:val="32"/>
                <w:szCs w:val="32"/>
              </w:rPr>
            </w:pPr>
            <w:r w:rsidRPr="00B61C3A">
              <w:rPr>
                <w:rFonts w:ascii="Arial" w:hAnsi="Arial" w:cs="Arial"/>
                <w:b/>
                <w:bCs/>
                <w:color w:val="000000"/>
                <w:sz w:val="32"/>
                <w:szCs w:val="32"/>
              </w:rPr>
              <w:t xml:space="preserve">  </w:t>
            </w:r>
          </w:p>
          <w:p w:rsidR="00BC347A" w:rsidRPr="00B61C3A" w:rsidRDefault="00BC347A">
            <w:pPr>
              <w:autoSpaceDE w:val="0"/>
              <w:autoSpaceDN w:val="0"/>
              <w:adjustRightInd w:val="0"/>
              <w:rPr>
                <w:rFonts w:ascii="Arial" w:hAnsi="Arial" w:cs="Arial"/>
                <w:color w:val="000000"/>
              </w:rPr>
            </w:pPr>
            <w:r w:rsidRPr="00B61C3A">
              <w:rPr>
                <w:rFonts w:ascii="Arial" w:hAnsi="Arial" w:cs="Arial"/>
                <w:b/>
                <w:bCs/>
                <w:color w:val="000000"/>
                <w:sz w:val="32"/>
                <w:szCs w:val="32"/>
              </w:rPr>
              <w:t xml:space="preserve">               NEWS RELEASE</w:t>
            </w:r>
            <w:r w:rsidRPr="00B61C3A">
              <w:rPr>
                <w:rFonts w:ascii="Arial" w:hAnsi="Arial" w:cs="Arial"/>
                <w:color w:val="000000"/>
              </w:rPr>
              <w:t xml:space="preserve">                                                           </w:t>
            </w:r>
          </w:p>
        </w:tc>
      </w:tr>
    </w:tbl>
    <w:p w:rsidR="00416C6F" w:rsidRPr="00B61C3A" w:rsidRDefault="00416C6F" w:rsidP="00177CEB">
      <w:pPr>
        <w:rPr>
          <w:rFonts w:ascii="Arial" w:hAnsi="Arial" w:cs="Arial"/>
          <w:b/>
          <w:sz w:val="20"/>
          <w:szCs w:val="20"/>
        </w:rPr>
      </w:pPr>
    </w:p>
    <w:p w:rsidR="00A43A6E" w:rsidRDefault="00A43A6E" w:rsidP="00177CEB">
      <w:pPr>
        <w:autoSpaceDE w:val="0"/>
        <w:autoSpaceDN w:val="0"/>
        <w:adjustRightInd w:val="0"/>
        <w:spacing w:line="240" w:lineRule="atLeast"/>
        <w:rPr>
          <w:rFonts w:ascii="Arial" w:hAnsi="Arial" w:cs="Arial"/>
          <w:color w:val="000000"/>
          <w:sz w:val="20"/>
          <w:szCs w:val="20"/>
        </w:rPr>
      </w:pPr>
    </w:p>
    <w:p w:rsidR="00EC7741" w:rsidRDefault="00EC7741" w:rsidP="00177CEB">
      <w:pPr>
        <w:autoSpaceDE w:val="0"/>
        <w:autoSpaceDN w:val="0"/>
        <w:adjustRightInd w:val="0"/>
        <w:spacing w:line="240" w:lineRule="atLeast"/>
        <w:rPr>
          <w:rFonts w:ascii="Arial" w:hAnsi="Arial" w:cs="Arial"/>
          <w:color w:val="000000"/>
          <w:sz w:val="20"/>
          <w:szCs w:val="20"/>
        </w:rPr>
      </w:pPr>
    </w:p>
    <w:p w:rsidR="00EC7741" w:rsidRPr="00B61C3A" w:rsidRDefault="00EC7741" w:rsidP="00177CEB">
      <w:pPr>
        <w:autoSpaceDE w:val="0"/>
        <w:autoSpaceDN w:val="0"/>
        <w:adjustRightInd w:val="0"/>
        <w:spacing w:line="240" w:lineRule="atLeast"/>
        <w:rPr>
          <w:rFonts w:ascii="Arial" w:hAnsi="Arial" w:cs="Arial"/>
          <w:color w:val="000000"/>
          <w:sz w:val="20"/>
          <w:szCs w:val="20"/>
        </w:rPr>
      </w:pPr>
    </w:p>
    <w:p w:rsidR="00D414D2" w:rsidRPr="00D414D2" w:rsidRDefault="00D414D2" w:rsidP="00D414D2">
      <w:pPr>
        <w:jc w:val="center"/>
        <w:rPr>
          <w:rFonts w:ascii="Arial" w:hAnsi="Arial" w:cs="Arial"/>
          <w:b/>
          <w:sz w:val="32"/>
          <w:szCs w:val="32"/>
        </w:rPr>
      </w:pPr>
      <w:r w:rsidRPr="00D414D2">
        <w:rPr>
          <w:rFonts w:ascii="Arial" w:hAnsi="Arial" w:cs="Arial"/>
          <w:b/>
          <w:sz w:val="32"/>
          <w:szCs w:val="32"/>
        </w:rPr>
        <w:t>World Bank Group Provided over $10.4 Billion to Emerging Europe and Central Asia</w:t>
      </w:r>
    </w:p>
    <w:p w:rsidR="00D414D2" w:rsidRDefault="00D414D2" w:rsidP="00D414D2">
      <w:pPr>
        <w:jc w:val="center"/>
        <w:rPr>
          <w:rFonts w:ascii="Arial" w:hAnsi="Arial" w:cs="Arial"/>
          <w:i/>
        </w:rPr>
      </w:pPr>
    </w:p>
    <w:p w:rsidR="00D414D2" w:rsidRPr="00D414D2" w:rsidRDefault="00D414D2" w:rsidP="00D414D2">
      <w:pPr>
        <w:jc w:val="center"/>
        <w:rPr>
          <w:rFonts w:ascii="Arial" w:hAnsi="Arial" w:cs="Arial"/>
          <w:i/>
        </w:rPr>
      </w:pPr>
      <w:r w:rsidRPr="00D414D2">
        <w:rPr>
          <w:rFonts w:ascii="Arial" w:hAnsi="Arial" w:cs="Arial"/>
          <w:i/>
        </w:rPr>
        <w:t>Helping Governments Support Growth and Sustain Recovery</w:t>
      </w:r>
    </w:p>
    <w:p w:rsidR="00D414D2" w:rsidRPr="00D414D2" w:rsidRDefault="00D414D2" w:rsidP="00D414D2">
      <w:pPr>
        <w:spacing w:before="100" w:beforeAutospacing="1" w:after="100" w:afterAutospacing="1"/>
        <w:rPr>
          <w:rFonts w:ascii="Arial" w:hAnsi="Arial" w:cs="Arial"/>
          <w:sz w:val="20"/>
          <w:szCs w:val="20"/>
        </w:rPr>
      </w:pPr>
      <w:r w:rsidRPr="00D414D2">
        <w:rPr>
          <w:rFonts w:ascii="Arial" w:hAnsi="Arial" w:cs="Arial"/>
          <w:b/>
          <w:sz w:val="20"/>
          <w:szCs w:val="20"/>
        </w:rPr>
        <w:t>WASHINGTON, July 11, 2012</w:t>
      </w:r>
      <w:r w:rsidRPr="00D414D2">
        <w:rPr>
          <w:rFonts w:ascii="Arial" w:hAnsi="Arial" w:cs="Arial"/>
          <w:sz w:val="20"/>
          <w:szCs w:val="20"/>
        </w:rPr>
        <w:t xml:space="preserve"> – The World Bank Group provided US $10.47 billion in funding to governments in Emerging Europe and Central Asia (ECA) in fiscal year 2012, which ended on June 30, amid uncertainty in the </w:t>
      </w:r>
      <w:proofErr w:type="spellStart"/>
      <w:r w:rsidRPr="00D414D2">
        <w:rPr>
          <w:rFonts w:ascii="Arial" w:hAnsi="Arial" w:cs="Arial"/>
          <w:sz w:val="20"/>
          <w:szCs w:val="20"/>
        </w:rPr>
        <w:t>Eurozone</w:t>
      </w:r>
      <w:proofErr w:type="spellEnd"/>
      <w:r w:rsidRPr="00D414D2">
        <w:rPr>
          <w:rFonts w:ascii="Arial" w:hAnsi="Arial" w:cs="Arial"/>
          <w:sz w:val="20"/>
          <w:szCs w:val="20"/>
        </w:rPr>
        <w:t xml:space="preserve"> and modest growth. </w:t>
      </w:r>
    </w:p>
    <w:tbl>
      <w:tblPr>
        <w:tblStyle w:val="TableGrid"/>
        <w:tblpPr w:leftFromText="180" w:rightFromText="180" w:vertAnchor="page" w:horzAnchor="margin" w:tblpXSpec="right" w:tblpY="5828"/>
        <w:tblW w:w="0" w:type="auto"/>
        <w:tblLayout w:type="fixed"/>
        <w:tblCellMar>
          <w:left w:w="115" w:type="dxa"/>
          <w:right w:w="115" w:type="dxa"/>
        </w:tblCellMar>
        <w:tblLook w:val="04A0"/>
      </w:tblPr>
      <w:tblGrid>
        <w:gridCol w:w="2633"/>
        <w:gridCol w:w="2567"/>
      </w:tblGrid>
      <w:tr w:rsidR="004E53FC" w:rsidRPr="00D414D2" w:rsidTr="004E53FC">
        <w:trPr>
          <w:cantSplit/>
          <w:trHeight w:val="425"/>
        </w:trPr>
        <w:tc>
          <w:tcPr>
            <w:tcW w:w="5200" w:type="dxa"/>
            <w:gridSpan w:val="2"/>
            <w:vAlign w:val="bottom"/>
          </w:tcPr>
          <w:p w:rsidR="004E53FC" w:rsidRPr="00D414D2" w:rsidRDefault="004E53FC" w:rsidP="004E53FC">
            <w:pPr>
              <w:rPr>
                <w:rFonts w:ascii="Arial" w:hAnsi="Arial" w:cs="Arial"/>
                <w:color w:val="000000"/>
                <w:sz w:val="20"/>
                <w:szCs w:val="20"/>
              </w:rPr>
            </w:pPr>
            <w:r w:rsidRPr="00D414D2">
              <w:rPr>
                <w:rFonts w:ascii="Arial" w:hAnsi="Arial" w:cs="Arial"/>
                <w:color w:val="000000"/>
                <w:sz w:val="20"/>
                <w:szCs w:val="20"/>
              </w:rPr>
              <w:t>World Bank Group Commitments</w:t>
            </w:r>
          </w:p>
          <w:p w:rsidR="004E53FC" w:rsidRPr="00D414D2" w:rsidRDefault="004E53FC" w:rsidP="004E53FC">
            <w:pPr>
              <w:rPr>
                <w:rFonts w:ascii="Arial" w:hAnsi="Arial" w:cs="Arial"/>
                <w:color w:val="000000"/>
                <w:sz w:val="20"/>
                <w:szCs w:val="20"/>
              </w:rPr>
            </w:pPr>
            <w:r w:rsidRPr="00D414D2">
              <w:rPr>
                <w:rFonts w:ascii="Arial" w:hAnsi="Arial" w:cs="Arial"/>
                <w:color w:val="000000"/>
                <w:sz w:val="20"/>
                <w:szCs w:val="20"/>
              </w:rPr>
              <w:t>Europe and Central Asia</w:t>
            </w:r>
          </w:p>
          <w:p w:rsidR="004E53FC" w:rsidRPr="00D414D2" w:rsidRDefault="004E53FC" w:rsidP="004E53FC">
            <w:pPr>
              <w:rPr>
                <w:rFonts w:ascii="Arial" w:hAnsi="Arial" w:cs="Arial"/>
                <w:color w:val="000000"/>
                <w:sz w:val="20"/>
                <w:szCs w:val="20"/>
              </w:rPr>
            </w:pPr>
            <w:r w:rsidRPr="00D414D2">
              <w:rPr>
                <w:rFonts w:ascii="Arial" w:hAnsi="Arial" w:cs="Arial"/>
                <w:color w:val="000000"/>
                <w:sz w:val="20"/>
                <w:szCs w:val="20"/>
              </w:rPr>
              <w:t>Fiscal Year 2012 (July 1, 2011 – June 30, 2012)</w:t>
            </w:r>
          </w:p>
          <w:p w:rsidR="004E53FC" w:rsidRPr="00D414D2" w:rsidRDefault="004E53FC" w:rsidP="004E53FC">
            <w:pPr>
              <w:rPr>
                <w:rFonts w:ascii="Arial" w:hAnsi="Arial" w:cs="Arial"/>
                <w:color w:val="000000"/>
                <w:sz w:val="20"/>
                <w:szCs w:val="20"/>
              </w:rPr>
            </w:pPr>
            <w:r w:rsidRPr="00D414D2">
              <w:rPr>
                <w:rFonts w:ascii="Arial" w:hAnsi="Arial" w:cs="Arial"/>
                <w:color w:val="000000"/>
                <w:sz w:val="20"/>
                <w:szCs w:val="20"/>
              </w:rPr>
              <w:t>(in U.S. billions)</w:t>
            </w:r>
          </w:p>
        </w:tc>
      </w:tr>
      <w:tr w:rsidR="004E53FC" w:rsidRPr="00D414D2" w:rsidTr="004E53FC">
        <w:trPr>
          <w:trHeight w:val="249"/>
        </w:trPr>
        <w:tc>
          <w:tcPr>
            <w:tcW w:w="2633"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World Bank Group</w:t>
            </w:r>
          </w:p>
        </w:tc>
        <w:tc>
          <w:tcPr>
            <w:tcW w:w="2567"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FY 12*</w:t>
            </w:r>
          </w:p>
        </w:tc>
      </w:tr>
      <w:tr w:rsidR="004E53FC" w:rsidRPr="00D414D2" w:rsidTr="004E53FC">
        <w:trPr>
          <w:trHeight w:val="249"/>
        </w:trPr>
        <w:tc>
          <w:tcPr>
            <w:tcW w:w="2633"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IBRD</w:t>
            </w:r>
          </w:p>
        </w:tc>
        <w:tc>
          <w:tcPr>
            <w:tcW w:w="2567"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6.2</w:t>
            </w:r>
          </w:p>
        </w:tc>
      </w:tr>
      <w:tr w:rsidR="004E53FC" w:rsidRPr="00D414D2" w:rsidTr="004E53FC">
        <w:trPr>
          <w:trHeight w:val="249"/>
        </w:trPr>
        <w:tc>
          <w:tcPr>
            <w:tcW w:w="2633"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IDA</w:t>
            </w:r>
          </w:p>
        </w:tc>
        <w:tc>
          <w:tcPr>
            <w:tcW w:w="2567"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0.362</w:t>
            </w:r>
          </w:p>
        </w:tc>
      </w:tr>
      <w:tr w:rsidR="004E53FC" w:rsidRPr="00D414D2" w:rsidTr="004E53FC">
        <w:trPr>
          <w:trHeight w:val="249"/>
        </w:trPr>
        <w:tc>
          <w:tcPr>
            <w:tcW w:w="2633"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IFC</w:t>
            </w:r>
          </w:p>
        </w:tc>
        <w:tc>
          <w:tcPr>
            <w:tcW w:w="2567"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2.98+</w:t>
            </w:r>
          </w:p>
        </w:tc>
      </w:tr>
      <w:tr w:rsidR="004E53FC" w:rsidRPr="00D414D2" w:rsidTr="004E53FC">
        <w:trPr>
          <w:trHeight w:val="249"/>
        </w:trPr>
        <w:tc>
          <w:tcPr>
            <w:tcW w:w="2633"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MIGA</w:t>
            </w:r>
          </w:p>
        </w:tc>
        <w:tc>
          <w:tcPr>
            <w:tcW w:w="2567"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0.928</w:t>
            </w:r>
          </w:p>
        </w:tc>
      </w:tr>
      <w:tr w:rsidR="004E53FC" w:rsidRPr="00D414D2" w:rsidTr="004E53FC">
        <w:trPr>
          <w:trHeight w:val="249"/>
        </w:trPr>
        <w:tc>
          <w:tcPr>
            <w:tcW w:w="2633"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Total</w:t>
            </w:r>
          </w:p>
        </w:tc>
        <w:tc>
          <w:tcPr>
            <w:tcW w:w="2567" w:type="dxa"/>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10.47</w:t>
            </w:r>
          </w:p>
        </w:tc>
      </w:tr>
      <w:tr w:rsidR="004E53FC" w:rsidRPr="00D414D2" w:rsidTr="004E53FC">
        <w:trPr>
          <w:trHeight w:val="207"/>
        </w:trPr>
        <w:tc>
          <w:tcPr>
            <w:tcW w:w="5200" w:type="dxa"/>
            <w:gridSpan w:val="2"/>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*Preliminary and unaudited numbers as of July 1, 2012</w:t>
            </w:r>
          </w:p>
        </w:tc>
      </w:tr>
      <w:tr w:rsidR="004E53FC" w:rsidRPr="00D414D2" w:rsidTr="004E53FC">
        <w:trPr>
          <w:trHeight w:val="274"/>
        </w:trPr>
        <w:tc>
          <w:tcPr>
            <w:tcW w:w="5200" w:type="dxa"/>
            <w:gridSpan w:val="2"/>
          </w:tcPr>
          <w:p w:rsidR="004E53FC" w:rsidRPr="00D414D2" w:rsidRDefault="004E53FC" w:rsidP="004E53FC">
            <w:pPr>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+Own account only. FY12 funds mobilized from other investors are excluded.</w:t>
            </w:r>
          </w:p>
        </w:tc>
      </w:tr>
    </w:tbl>
    <w:p w:rsidR="00D414D2" w:rsidRPr="00D414D2" w:rsidRDefault="00D414D2" w:rsidP="00D414D2">
      <w:pPr>
        <w:spacing w:before="100" w:beforeAutospacing="1" w:after="100" w:afterAutospacing="1"/>
        <w:rPr>
          <w:rFonts w:ascii="Arial" w:hAnsi="Arial" w:cs="Arial"/>
          <w:color w:val="000000"/>
          <w:sz w:val="20"/>
          <w:szCs w:val="20"/>
        </w:rPr>
      </w:pPr>
      <w:r w:rsidRPr="00D414D2">
        <w:rPr>
          <w:rFonts w:ascii="Arial" w:hAnsi="Arial" w:cs="Arial"/>
          <w:i/>
          <w:color w:val="000000"/>
          <w:sz w:val="20"/>
          <w:szCs w:val="20"/>
        </w:rPr>
        <w:t xml:space="preserve"> “Countries in Emerging Europe and Central Asia continue to face the challenge of sustainable recovery,”</w:t>
      </w:r>
      <w:r w:rsidRPr="00D414D2">
        <w:rPr>
          <w:rFonts w:ascii="Arial" w:hAnsi="Arial" w:cs="Arial"/>
          <w:color w:val="000000"/>
          <w:sz w:val="20"/>
          <w:szCs w:val="20"/>
        </w:rPr>
        <w:t xml:space="preserve"> said </w:t>
      </w:r>
      <w:r w:rsidRPr="00D414D2">
        <w:rPr>
          <w:rFonts w:ascii="Arial" w:hAnsi="Arial" w:cs="Arial"/>
          <w:b/>
          <w:color w:val="000000"/>
          <w:sz w:val="20"/>
          <w:szCs w:val="20"/>
        </w:rPr>
        <w:t xml:space="preserve">Philippe Le </w:t>
      </w:r>
      <w:proofErr w:type="spellStart"/>
      <w:r w:rsidRPr="00D414D2">
        <w:rPr>
          <w:rFonts w:ascii="Arial" w:hAnsi="Arial" w:cs="Arial"/>
          <w:b/>
          <w:color w:val="000000"/>
          <w:sz w:val="20"/>
          <w:szCs w:val="20"/>
        </w:rPr>
        <w:t>Hou</w:t>
      </w:r>
      <w:r>
        <w:rPr>
          <w:rFonts w:ascii="Arial" w:hAnsi="Arial" w:cs="Arial"/>
          <w:b/>
          <w:color w:val="000000"/>
          <w:sz w:val="20"/>
          <w:szCs w:val="20"/>
        </w:rPr>
        <w:t>é</w:t>
      </w:r>
      <w:r w:rsidRPr="00D414D2">
        <w:rPr>
          <w:rFonts w:ascii="Arial" w:hAnsi="Arial" w:cs="Arial"/>
          <w:b/>
          <w:color w:val="000000"/>
          <w:sz w:val="20"/>
          <w:szCs w:val="20"/>
        </w:rPr>
        <w:t>rou</w:t>
      </w:r>
      <w:proofErr w:type="spellEnd"/>
      <w:r w:rsidRPr="00D414D2">
        <w:rPr>
          <w:rFonts w:ascii="Arial" w:hAnsi="Arial" w:cs="Arial"/>
          <w:b/>
          <w:color w:val="000000"/>
          <w:sz w:val="20"/>
          <w:szCs w:val="20"/>
        </w:rPr>
        <w:t>, World Bank Vice President for the Europe and Central Asia region.</w:t>
      </w:r>
      <w:r w:rsidRPr="00D414D2">
        <w:rPr>
          <w:rFonts w:ascii="Arial" w:hAnsi="Arial" w:cs="Arial"/>
          <w:color w:val="000000"/>
          <w:sz w:val="20"/>
          <w:szCs w:val="20"/>
        </w:rPr>
        <w:t xml:space="preserve"> </w:t>
      </w:r>
      <w:r w:rsidRPr="00D414D2">
        <w:rPr>
          <w:rFonts w:ascii="Arial" w:hAnsi="Arial" w:cs="Arial"/>
          <w:i/>
          <w:color w:val="000000"/>
          <w:sz w:val="20"/>
          <w:szCs w:val="20"/>
        </w:rPr>
        <w:t>“The crisis is harming the region through three main channels – finance, trade and workers’ remittances. The World Bank is supporting countries in their efforts to strengthen their economic structures, providing financial support to governments to improve public services, strengthen banking systems, and protect the most vulnerable from the impact of the crisis.”</w:t>
      </w:r>
      <w:r w:rsidRPr="00D414D2">
        <w:rPr>
          <w:rFonts w:ascii="Arial" w:hAnsi="Arial" w:cs="Arial"/>
          <w:color w:val="000000"/>
          <w:sz w:val="20"/>
          <w:szCs w:val="20"/>
        </w:rPr>
        <w:t xml:space="preserve"> </w:t>
      </w:r>
    </w:p>
    <w:p w:rsidR="00D414D2" w:rsidRPr="00D414D2" w:rsidRDefault="00D414D2" w:rsidP="00D414D2">
      <w:pPr>
        <w:spacing w:before="100" w:beforeAutospacing="1" w:after="100" w:afterAutospacing="1"/>
        <w:rPr>
          <w:rFonts w:ascii="Arial" w:hAnsi="Arial" w:cs="Arial"/>
          <w:sz w:val="20"/>
          <w:szCs w:val="20"/>
        </w:rPr>
      </w:pPr>
      <w:r w:rsidRPr="00D414D2">
        <w:rPr>
          <w:rFonts w:ascii="Arial" w:hAnsi="Arial" w:cs="Arial"/>
          <w:color w:val="000000"/>
          <w:sz w:val="20"/>
          <w:szCs w:val="20"/>
        </w:rPr>
        <w:t>The recently published Global Economic Prospects report highlights that growth in the region should slow in 2012 to 3.3 percent, assuming a resolution of the Euro Area crisis by end-2012.</w:t>
      </w:r>
      <w:r w:rsidRPr="00D414D2">
        <w:rPr>
          <w:rFonts w:ascii="Arial" w:hAnsi="Arial" w:cs="Arial"/>
          <w:i/>
          <w:color w:val="000000"/>
          <w:sz w:val="20"/>
          <w:szCs w:val="20"/>
        </w:rPr>
        <w:t xml:space="preserve"> </w:t>
      </w:r>
      <w:r w:rsidRPr="00D414D2">
        <w:rPr>
          <w:rFonts w:ascii="Arial" w:hAnsi="Arial" w:cs="Arial"/>
          <w:color w:val="000000"/>
          <w:sz w:val="20"/>
          <w:szCs w:val="20"/>
        </w:rPr>
        <w:t xml:space="preserve">Bank support in ECA reached $6.6 billion this fiscal year, including $6.2 billion from the </w:t>
      </w:r>
      <w:r w:rsidRPr="00D414D2">
        <w:rPr>
          <w:rFonts w:ascii="Arial" w:hAnsi="Arial" w:cs="Arial"/>
          <w:b/>
          <w:color w:val="000000"/>
          <w:sz w:val="20"/>
          <w:szCs w:val="20"/>
        </w:rPr>
        <w:t>International Bank for Reconstruction and Development (IBRD)</w:t>
      </w:r>
      <w:r w:rsidRPr="00D414D2">
        <w:rPr>
          <w:rFonts w:ascii="Arial" w:hAnsi="Arial" w:cs="Arial"/>
          <w:color w:val="000000"/>
          <w:sz w:val="20"/>
          <w:szCs w:val="20"/>
        </w:rPr>
        <w:t xml:space="preserve"> and $362 million from the </w:t>
      </w:r>
      <w:r w:rsidRPr="00D414D2">
        <w:rPr>
          <w:rFonts w:ascii="Arial" w:hAnsi="Arial" w:cs="Arial"/>
          <w:b/>
          <w:color w:val="000000"/>
          <w:sz w:val="20"/>
          <w:szCs w:val="20"/>
        </w:rPr>
        <w:t>International Development Association (IDA)</w:t>
      </w:r>
      <w:r w:rsidRPr="00D414D2">
        <w:rPr>
          <w:rFonts w:ascii="Arial" w:hAnsi="Arial" w:cs="Arial"/>
          <w:color w:val="000000"/>
          <w:sz w:val="20"/>
          <w:szCs w:val="20"/>
        </w:rPr>
        <w:t xml:space="preserve">. Romania ($1.9 billion), Turkey ($1.1 billion), Kazakhstan ($1.1 billion) and Poland ($1 billion) were the largest borrowers. </w:t>
      </w:r>
      <w:r w:rsidRPr="00D414D2">
        <w:rPr>
          <w:rFonts w:ascii="Arial" w:hAnsi="Arial" w:cs="Arial"/>
          <w:sz w:val="20"/>
          <w:szCs w:val="20"/>
        </w:rPr>
        <w:t>Lending was targeted in supporting three regional pillars: deepening</w:t>
      </w:r>
      <w:r w:rsidRPr="00D414D2">
        <w:rPr>
          <w:rFonts w:ascii="Arial" w:eastAsiaTheme="minorEastAsia" w:hAnsi="Arial" w:cs="Arial"/>
          <w:bCs/>
          <w:sz w:val="20"/>
          <w:szCs w:val="20"/>
        </w:rPr>
        <w:t xml:space="preserve"> reforms for improved competitiveness</w:t>
      </w:r>
      <w:r w:rsidRPr="00D414D2">
        <w:rPr>
          <w:rFonts w:ascii="Arial" w:hAnsi="Arial" w:cs="Arial"/>
          <w:bCs/>
          <w:sz w:val="20"/>
          <w:szCs w:val="20"/>
        </w:rPr>
        <w:t xml:space="preserve">, supporting </w:t>
      </w:r>
      <w:r w:rsidRPr="00D414D2">
        <w:rPr>
          <w:rFonts w:ascii="Arial" w:eastAsiaTheme="minorEastAsia" w:hAnsi="Arial" w:cs="Arial"/>
          <w:bCs/>
          <w:sz w:val="20"/>
          <w:szCs w:val="20"/>
        </w:rPr>
        <w:t xml:space="preserve">social sector reforms for inclusive growth, and helping countries take </w:t>
      </w:r>
      <w:r w:rsidRPr="00D414D2">
        <w:rPr>
          <w:rFonts w:ascii="Arial" w:hAnsi="Arial" w:cs="Arial"/>
          <w:bCs/>
          <w:sz w:val="20"/>
          <w:szCs w:val="20"/>
        </w:rPr>
        <w:t xml:space="preserve">action for greening growth trajectories. </w:t>
      </w:r>
    </w:p>
    <w:p w:rsidR="00D414D2" w:rsidRPr="00D414D2" w:rsidRDefault="00D414D2" w:rsidP="00D414D2">
      <w:pPr>
        <w:pStyle w:val="ListParagraph"/>
        <w:autoSpaceDE w:val="0"/>
        <w:autoSpaceDN w:val="0"/>
        <w:adjustRightInd w:val="0"/>
        <w:spacing w:before="100" w:beforeAutospacing="1" w:after="100" w:afterAutospacing="1"/>
        <w:ind w:left="0"/>
        <w:rPr>
          <w:rFonts w:ascii="Arial" w:hAnsi="Arial" w:cs="Arial"/>
          <w:b/>
          <w:sz w:val="20"/>
          <w:szCs w:val="20"/>
        </w:rPr>
      </w:pPr>
      <w:r w:rsidRPr="00D414D2">
        <w:rPr>
          <w:rFonts w:ascii="Arial" w:hAnsi="Arial" w:cs="Arial"/>
          <w:b/>
          <w:sz w:val="20"/>
          <w:szCs w:val="20"/>
        </w:rPr>
        <w:t xml:space="preserve">Increasing competitiveness </w:t>
      </w:r>
    </w:p>
    <w:p w:rsidR="00D414D2" w:rsidRPr="00D414D2" w:rsidRDefault="00D414D2" w:rsidP="00D414D2">
      <w:pPr>
        <w:pStyle w:val="ListParagraph"/>
        <w:numPr>
          <w:ilvl w:val="0"/>
          <w:numId w:val="8"/>
        </w:numPr>
        <w:autoSpaceDE w:val="0"/>
        <w:autoSpaceDN w:val="0"/>
        <w:adjustRightInd w:val="0"/>
        <w:spacing w:before="100" w:beforeAutospacing="1" w:after="100" w:afterAutospacing="1"/>
        <w:rPr>
          <w:rFonts w:ascii="Arial" w:hAnsi="Arial" w:cs="Arial"/>
          <w:sz w:val="20"/>
          <w:szCs w:val="20"/>
        </w:rPr>
      </w:pPr>
      <w:r w:rsidRPr="00D414D2">
        <w:rPr>
          <w:rFonts w:ascii="Arial" w:hAnsi="Arial" w:cs="Arial"/>
          <w:sz w:val="20"/>
          <w:szCs w:val="20"/>
        </w:rPr>
        <w:t>Through operations in the region in fiscal year 2012, the Bank helped stabilize the financial sector in Serbia and FYR Macedonia and increase access to finance for small and medium-size enterprises in Armenia, Bosnia and Herzegovina, Moldova, and Turkey. Its investments improved roads in Kazakhstan, the Kyrgyz Republic, Ukraine, and the South Caucasus; helped modernize the public administration in Romania; and financed efforts by Poland and the Russian Federation to diversify their economies and spur innovation.</w:t>
      </w:r>
    </w:p>
    <w:p w:rsidR="00D414D2" w:rsidRPr="00D414D2" w:rsidRDefault="00D414D2" w:rsidP="00D414D2">
      <w:pPr>
        <w:pStyle w:val="ListParagraph"/>
        <w:autoSpaceDE w:val="0"/>
        <w:autoSpaceDN w:val="0"/>
        <w:adjustRightInd w:val="0"/>
        <w:spacing w:before="100" w:beforeAutospacing="1" w:after="100" w:afterAutospacing="1"/>
        <w:ind w:left="0"/>
        <w:rPr>
          <w:rFonts w:ascii="Arial" w:hAnsi="Arial" w:cs="Arial"/>
          <w:sz w:val="20"/>
          <w:szCs w:val="20"/>
        </w:rPr>
      </w:pPr>
    </w:p>
    <w:p w:rsidR="00D414D2" w:rsidRPr="00D414D2" w:rsidRDefault="00D414D2" w:rsidP="00D414D2">
      <w:pPr>
        <w:pStyle w:val="ListParagraph"/>
        <w:autoSpaceDE w:val="0"/>
        <w:autoSpaceDN w:val="0"/>
        <w:adjustRightInd w:val="0"/>
        <w:spacing w:before="100" w:beforeAutospacing="1" w:after="100" w:afterAutospacing="1"/>
        <w:ind w:left="0"/>
        <w:rPr>
          <w:rFonts w:ascii="Arial" w:hAnsi="Arial" w:cs="Arial"/>
          <w:b/>
          <w:sz w:val="20"/>
          <w:szCs w:val="20"/>
        </w:rPr>
      </w:pPr>
      <w:r w:rsidRPr="00D414D2">
        <w:rPr>
          <w:rFonts w:ascii="Arial" w:hAnsi="Arial" w:cs="Arial"/>
          <w:b/>
          <w:sz w:val="20"/>
          <w:szCs w:val="20"/>
        </w:rPr>
        <w:t>Supporting social sector reforms</w:t>
      </w:r>
    </w:p>
    <w:p w:rsidR="00D414D2" w:rsidRPr="00D414D2" w:rsidRDefault="00D414D2" w:rsidP="00D414D2">
      <w:pPr>
        <w:pStyle w:val="ListParagraph"/>
        <w:numPr>
          <w:ilvl w:val="0"/>
          <w:numId w:val="8"/>
        </w:numPr>
        <w:autoSpaceDE w:val="0"/>
        <w:autoSpaceDN w:val="0"/>
        <w:adjustRightInd w:val="0"/>
        <w:spacing w:before="100" w:beforeAutospacing="1" w:after="100" w:afterAutospacing="1"/>
        <w:rPr>
          <w:rFonts w:ascii="Arial" w:hAnsi="Arial" w:cs="Arial"/>
          <w:sz w:val="20"/>
          <w:szCs w:val="20"/>
        </w:rPr>
      </w:pPr>
      <w:r w:rsidRPr="00D414D2">
        <w:rPr>
          <w:rFonts w:ascii="Arial" w:hAnsi="Arial" w:cs="Arial"/>
          <w:sz w:val="20"/>
          <w:szCs w:val="20"/>
        </w:rPr>
        <w:t>In Romania, the Bank is working to make a comprehensive social assistance program more equitable and efficient. In Tajikistan, it is supporting the government’s efforts to channel support to the most vulnerable in times of need.</w:t>
      </w:r>
      <w:r w:rsidRPr="00D414D2">
        <w:rPr>
          <w:rStyle w:val="FootnoteReference"/>
          <w:rFonts w:ascii="Arial" w:hAnsi="Arial" w:cs="Arial"/>
          <w:sz w:val="20"/>
          <w:szCs w:val="20"/>
        </w:rPr>
        <w:t xml:space="preserve"> </w:t>
      </w:r>
      <w:r w:rsidRPr="00D414D2">
        <w:rPr>
          <w:rFonts w:ascii="Arial" w:hAnsi="Arial" w:cs="Arial"/>
          <w:sz w:val="20"/>
          <w:szCs w:val="20"/>
        </w:rPr>
        <w:t xml:space="preserve">Bank lending helped protect spending on social assistance programs in Albania, Armenia, Latvia, and Romania; education in Kazakhstan, FYR Macedonia, </w:t>
      </w:r>
      <w:r w:rsidRPr="00D414D2">
        <w:rPr>
          <w:rFonts w:ascii="Arial" w:hAnsi="Arial" w:cs="Arial"/>
          <w:sz w:val="20"/>
          <w:szCs w:val="20"/>
        </w:rPr>
        <w:lastRenderedPageBreak/>
        <w:t xml:space="preserve">and the Russian Federation; and healthcare in Armenia, Bosnia and Herzegovina, Tajikistan, and the Kyrgyz Republic. It supported improvements to social safety nets and insurance in Moldova, provided Rapid Social Response and IDA grants to Tajikistan, and funded a health system improvement project in Uzbekistan. </w:t>
      </w:r>
    </w:p>
    <w:p w:rsidR="00D414D2" w:rsidRPr="00D414D2" w:rsidRDefault="00D414D2" w:rsidP="00D414D2">
      <w:pPr>
        <w:pStyle w:val="ListParagraph"/>
        <w:autoSpaceDE w:val="0"/>
        <w:autoSpaceDN w:val="0"/>
        <w:adjustRightInd w:val="0"/>
        <w:spacing w:before="100" w:beforeAutospacing="1" w:after="100" w:afterAutospacing="1"/>
        <w:ind w:left="0"/>
        <w:rPr>
          <w:rFonts w:ascii="Arial" w:hAnsi="Arial" w:cs="Arial"/>
          <w:b/>
          <w:bCs/>
          <w:sz w:val="20"/>
          <w:szCs w:val="20"/>
        </w:rPr>
      </w:pPr>
    </w:p>
    <w:p w:rsidR="00D414D2" w:rsidRPr="00D414D2" w:rsidRDefault="00D414D2" w:rsidP="00D414D2">
      <w:pPr>
        <w:pStyle w:val="ListParagraph"/>
        <w:autoSpaceDE w:val="0"/>
        <w:autoSpaceDN w:val="0"/>
        <w:adjustRightInd w:val="0"/>
        <w:spacing w:before="100" w:beforeAutospacing="1" w:after="100" w:afterAutospacing="1"/>
        <w:ind w:left="0"/>
        <w:rPr>
          <w:rFonts w:ascii="Arial" w:hAnsi="Arial" w:cs="Arial"/>
          <w:b/>
          <w:bCs/>
          <w:sz w:val="20"/>
          <w:szCs w:val="20"/>
        </w:rPr>
      </w:pPr>
      <w:r w:rsidRPr="00D414D2">
        <w:rPr>
          <w:rFonts w:ascii="Arial" w:hAnsi="Arial" w:cs="Arial"/>
          <w:b/>
          <w:bCs/>
          <w:sz w:val="20"/>
          <w:szCs w:val="20"/>
        </w:rPr>
        <w:t>Climate action for sustainable growth</w:t>
      </w:r>
    </w:p>
    <w:p w:rsidR="00D414D2" w:rsidRPr="00D414D2" w:rsidRDefault="00D414D2" w:rsidP="00D414D2">
      <w:pPr>
        <w:pStyle w:val="ListParagraph"/>
        <w:numPr>
          <w:ilvl w:val="0"/>
          <w:numId w:val="8"/>
        </w:numPr>
        <w:autoSpaceDE w:val="0"/>
        <w:autoSpaceDN w:val="0"/>
        <w:adjustRightInd w:val="0"/>
        <w:spacing w:before="100" w:beforeAutospacing="1" w:after="100" w:afterAutospacing="1"/>
        <w:jc w:val="both"/>
        <w:rPr>
          <w:rFonts w:ascii="Arial" w:hAnsi="Arial" w:cs="Arial"/>
          <w:sz w:val="20"/>
          <w:szCs w:val="20"/>
        </w:rPr>
      </w:pPr>
      <w:r w:rsidRPr="00D414D2">
        <w:rPr>
          <w:rFonts w:ascii="Arial" w:hAnsi="Arial" w:cs="Arial"/>
          <w:sz w:val="20"/>
          <w:szCs w:val="20"/>
        </w:rPr>
        <w:t xml:space="preserve">A legacy of environmental mismanagement and the highest energy intensity of production in the world created massive challenges for the countries of Emerging Europe and Central Asia. To help meet them, the Bank is financing energy efficiency and renewable energy projects in Poland, Turkey, Ukraine, and Uzbekistan. It is helping Turkey reduce its carbon emissions and supporting carbon finance operations in the Czech Republic, Poland, and Romania. It is investing in improving the capacity of weather forecast and climate change in Moldova, Russia, and Central Asia; disaster mitigation and climate risk management in Moldova; flood management in Poland; and urban development and water and sanitation services across the region. </w:t>
      </w:r>
    </w:p>
    <w:p w:rsidR="00D414D2" w:rsidRPr="00D414D2" w:rsidRDefault="00D414D2" w:rsidP="00D414D2">
      <w:pPr>
        <w:autoSpaceDE w:val="0"/>
        <w:autoSpaceDN w:val="0"/>
        <w:adjustRightInd w:val="0"/>
        <w:spacing w:before="100" w:beforeAutospacing="1" w:after="100" w:afterAutospacing="1"/>
        <w:rPr>
          <w:rFonts w:ascii="Arial" w:hAnsi="Arial" w:cs="Arial"/>
          <w:sz w:val="20"/>
          <w:szCs w:val="20"/>
        </w:rPr>
      </w:pPr>
      <w:r w:rsidRPr="00D414D2">
        <w:rPr>
          <w:rFonts w:ascii="Arial" w:hAnsi="Arial" w:cs="Arial"/>
          <w:sz w:val="20"/>
          <w:szCs w:val="20"/>
        </w:rPr>
        <w:t xml:space="preserve">The </w:t>
      </w:r>
      <w:r w:rsidRPr="00D414D2">
        <w:rPr>
          <w:rFonts w:ascii="Arial" w:hAnsi="Arial" w:cs="Arial"/>
          <w:b/>
          <w:sz w:val="20"/>
          <w:szCs w:val="20"/>
        </w:rPr>
        <w:t>International Finance Corporation (IFC)</w:t>
      </w:r>
      <w:r w:rsidRPr="00D414D2">
        <w:rPr>
          <w:rFonts w:ascii="Arial" w:hAnsi="Arial" w:cs="Arial"/>
          <w:sz w:val="20"/>
          <w:szCs w:val="20"/>
        </w:rPr>
        <w:t xml:space="preserve"> this year continued to maintain a focus on investing in strategic areas. </w:t>
      </w:r>
      <w:r w:rsidRPr="00D414D2">
        <w:rPr>
          <w:rFonts w:ascii="Arial" w:hAnsi="Arial" w:cs="Arial"/>
          <w:color w:val="000000"/>
          <w:sz w:val="20"/>
          <w:szCs w:val="20"/>
        </w:rPr>
        <w:t>In FY12, IFC committed $4.28 billion, including $1.3 billion in syndicated loans and other mobilization, in 114 projects across the region. In t</w:t>
      </w:r>
      <w:r w:rsidRPr="00D414D2">
        <w:rPr>
          <w:rFonts w:ascii="Arial" w:hAnsi="Arial" w:cs="Arial"/>
          <w:sz w:val="20"/>
          <w:szCs w:val="20"/>
        </w:rPr>
        <w:t>his fiscal year, IFC commitments in ECA on its own account only were $2.98 billion.</w:t>
      </w:r>
    </w:p>
    <w:p w:rsidR="00D414D2" w:rsidRPr="00D414D2" w:rsidRDefault="00D414D2" w:rsidP="00D414D2">
      <w:pPr>
        <w:autoSpaceDE w:val="0"/>
        <w:autoSpaceDN w:val="0"/>
        <w:adjustRightInd w:val="0"/>
        <w:spacing w:before="100" w:beforeAutospacing="1" w:after="100" w:afterAutospacing="1"/>
        <w:rPr>
          <w:rFonts w:ascii="Arial" w:hAnsi="Arial" w:cs="Arial"/>
          <w:sz w:val="20"/>
          <w:szCs w:val="20"/>
        </w:rPr>
      </w:pPr>
      <w:r w:rsidRPr="00D414D2">
        <w:rPr>
          <w:rFonts w:ascii="Arial" w:hAnsi="Arial" w:cs="Arial"/>
          <w:i/>
          <w:sz w:val="20"/>
          <w:szCs w:val="20"/>
        </w:rPr>
        <w:t>“</w:t>
      </w:r>
      <w:r w:rsidRPr="00D414D2">
        <w:rPr>
          <w:rFonts w:ascii="Arial" w:hAnsi="Arial" w:cs="Arial"/>
          <w:i/>
          <w:color w:val="000000"/>
          <w:sz w:val="20"/>
          <w:szCs w:val="20"/>
        </w:rPr>
        <w:t>IFC continued to play a countercyclical role in Europe and Central Asia this fiscal year, with a particular emphasis on the Balkans, where we supported the key banks and companies that generate growth and employment</w:t>
      </w:r>
      <w:r w:rsidRPr="00D414D2">
        <w:rPr>
          <w:rFonts w:ascii="Arial" w:hAnsi="Arial" w:cs="Arial"/>
          <w:i/>
          <w:sz w:val="20"/>
          <w:szCs w:val="20"/>
        </w:rPr>
        <w:t>,”</w:t>
      </w:r>
      <w:r w:rsidRPr="00D414D2">
        <w:rPr>
          <w:rFonts w:ascii="Arial" w:hAnsi="Arial" w:cs="Arial"/>
          <w:sz w:val="20"/>
          <w:szCs w:val="20"/>
        </w:rPr>
        <w:t xml:space="preserve"> said </w:t>
      </w:r>
      <w:proofErr w:type="spellStart"/>
      <w:r w:rsidRPr="00D414D2">
        <w:rPr>
          <w:rFonts w:ascii="Arial" w:hAnsi="Arial" w:cs="Arial"/>
          <w:b/>
          <w:sz w:val="20"/>
          <w:szCs w:val="20"/>
        </w:rPr>
        <w:t>Dimitris</w:t>
      </w:r>
      <w:proofErr w:type="spellEnd"/>
      <w:r w:rsidRPr="00D414D2">
        <w:rPr>
          <w:rFonts w:ascii="Arial" w:hAnsi="Arial" w:cs="Arial"/>
          <w:b/>
          <w:sz w:val="20"/>
          <w:szCs w:val="20"/>
        </w:rPr>
        <w:t xml:space="preserve"> </w:t>
      </w:r>
      <w:proofErr w:type="spellStart"/>
      <w:r w:rsidRPr="00D414D2">
        <w:rPr>
          <w:rFonts w:ascii="Arial" w:hAnsi="Arial" w:cs="Arial"/>
          <w:b/>
          <w:sz w:val="20"/>
          <w:szCs w:val="20"/>
        </w:rPr>
        <w:t>Tsitsiragos</w:t>
      </w:r>
      <w:proofErr w:type="spellEnd"/>
      <w:r w:rsidRPr="00D414D2">
        <w:rPr>
          <w:rFonts w:ascii="Arial" w:hAnsi="Arial" w:cs="Arial"/>
          <w:b/>
          <w:sz w:val="20"/>
          <w:szCs w:val="20"/>
        </w:rPr>
        <w:t>, IFC Vice President for Europe, Central Asia, the Middle East and North Africa.</w:t>
      </w:r>
      <w:r w:rsidRPr="00D414D2">
        <w:rPr>
          <w:rFonts w:ascii="Arial" w:hAnsi="Arial" w:cs="Arial"/>
          <w:sz w:val="20"/>
          <w:szCs w:val="20"/>
        </w:rPr>
        <w:t xml:space="preserve"> </w:t>
      </w:r>
      <w:r w:rsidRPr="00D414D2">
        <w:rPr>
          <w:rFonts w:ascii="Arial" w:hAnsi="Arial" w:cs="Arial"/>
          <w:i/>
          <w:sz w:val="20"/>
          <w:szCs w:val="20"/>
        </w:rPr>
        <w:t>“</w:t>
      </w:r>
      <w:r w:rsidRPr="00D414D2">
        <w:rPr>
          <w:rFonts w:ascii="Arial" w:hAnsi="Arial" w:cs="Arial"/>
          <w:i/>
          <w:color w:val="000000"/>
          <w:sz w:val="20"/>
          <w:szCs w:val="20"/>
        </w:rPr>
        <w:t>We increased our commitments in the region by 11 percent from $2.68 billion last fiscal year to $2.98 billion this year and mobilized about $1.3 billion from partner banks - a significant result against a background of continued uncertainty in Europe. IFC supports inclusive and sustainable private sector growth in the region with a focus on access to finance, agribusiness, infrastructure, and climate change related projects.</w:t>
      </w:r>
      <w:r w:rsidRPr="00D414D2">
        <w:rPr>
          <w:rFonts w:ascii="Arial" w:hAnsi="Arial" w:cs="Arial"/>
          <w:i/>
          <w:sz w:val="20"/>
          <w:szCs w:val="20"/>
        </w:rPr>
        <w:t>”</w:t>
      </w:r>
      <w:r w:rsidRPr="00D414D2">
        <w:rPr>
          <w:rFonts w:ascii="Arial" w:hAnsi="Arial" w:cs="Arial"/>
          <w:sz w:val="20"/>
          <w:szCs w:val="20"/>
        </w:rPr>
        <w:t xml:space="preserve"> </w:t>
      </w:r>
    </w:p>
    <w:p w:rsidR="00D414D2" w:rsidRPr="00D414D2" w:rsidRDefault="00D414D2" w:rsidP="00D414D2">
      <w:pPr>
        <w:autoSpaceDE w:val="0"/>
        <w:autoSpaceDN w:val="0"/>
        <w:adjustRightInd w:val="0"/>
        <w:spacing w:before="100" w:beforeAutospacing="1" w:after="100" w:afterAutospacing="1"/>
        <w:rPr>
          <w:rFonts w:ascii="Arial" w:hAnsi="Arial" w:cs="Arial"/>
          <w:color w:val="000000"/>
          <w:sz w:val="20"/>
          <w:szCs w:val="20"/>
        </w:rPr>
      </w:pPr>
      <w:r w:rsidRPr="00D414D2">
        <w:rPr>
          <w:rFonts w:ascii="Arial" w:hAnsi="Arial" w:cs="Arial"/>
          <w:color w:val="000000"/>
          <w:sz w:val="20"/>
          <w:szCs w:val="20"/>
        </w:rPr>
        <w:t xml:space="preserve">During fiscal year 2012, the </w:t>
      </w:r>
      <w:r w:rsidRPr="00D414D2">
        <w:rPr>
          <w:rFonts w:ascii="Arial" w:hAnsi="Arial" w:cs="Arial"/>
          <w:b/>
          <w:color w:val="000000"/>
          <w:sz w:val="20"/>
          <w:szCs w:val="20"/>
        </w:rPr>
        <w:t>Multilateral Investment Guarantee Agency (MIGA)</w:t>
      </w:r>
      <w:r w:rsidRPr="00D414D2">
        <w:rPr>
          <w:rFonts w:ascii="Arial" w:hAnsi="Arial" w:cs="Arial"/>
          <w:color w:val="000000"/>
          <w:sz w:val="20"/>
          <w:szCs w:val="20"/>
        </w:rPr>
        <w:t xml:space="preserve"> provided support for 18 projects with $928 million in political risk insurance coverage in Europe and Central Asia. While the agency continued its historical support to the region’s financial sector, especially as the euro-zone crisis affected Central and Southeastern Europe, this year MIGA expanded its support to a wider range of activities in the region’s economies. MIGA-supported projects included hydropower in Albania, gas development in Uzbekistan, agribusiness in the Russian Federation, and manufacturing in Turkmenistan and Ukraine.  MIGA also reinsured some of the services portfolio of the Slovenian export credit agency, SIB Bank, Inc., so that it could maintain its lending capacity to the real economy in the Balkans. </w:t>
      </w:r>
    </w:p>
    <w:p w:rsidR="00D414D2" w:rsidRPr="00D414D2" w:rsidRDefault="00D414D2" w:rsidP="00D414D2">
      <w:pPr>
        <w:spacing w:before="100" w:beforeAutospacing="1" w:after="100" w:afterAutospacing="1"/>
        <w:rPr>
          <w:rFonts w:ascii="Arial" w:hAnsi="Arial" w:cs="Arial"/>
          <w:sz w:val="20"/>
          <w:szCs w:val="20"/>
        </w:rPr>
      </w:pPr>
      <w:r w:rsidRPr="00D414D2">
        <w:rPr>
          <w:rFonts w:ascii="Arial" w:hAnsi="Arial" w:cs="Arial"/>
          <w:i/>
          <w:color w:val="000000"/>
          <w:sz w:val="20"/>
          <w:szCs w:val="20"/>
        </w:rPr>
        <w:t>“We’re very pleased that this year we have significantly broadened our portfolio in the region to include more sectors that will create jobs and boost development,”</w:t>
      </w:r>
      <w:r w:rsidRPr="00D414D2">
        <w:rPr>
          <w:rFonts w:ascii="Arial" w:hAnsi="Arial" w:cs="Arial"/>
          <w:color w:val="000000"/>
          <w:sz w:val="20"/>
          <w:szCs w:val="20"/>
        </w:rPr>
        <w:t xml:space="preserve"> said </w:t>
      </w:r>
      <w:r w:rsidRPr="00D414D2">
        <w:rPr>
          <w:rFonts w:ascii="Arial" w:hAnsi="Arial" w:cs="Arial"/>
          <w:b/>
          <w:color w:val="000000"/>
          <w:sz w:val="20"/>
          <w:szCs w:val="20"/>
        </w:rPr>
        <w:t>Izumi Kobayashi, MIGA’ s Executive Vice President.</w:t>
      </w:r>
      <w:r w:rsidRPr="00D414D2">
        <w:rPr>
          <w:rFonts w:ascii="Arial" w:hAnsi="Arial" w:cs="Arial"/>
          <w:color w:val="000000"/>
          <w:sz w:val="20"/>
          <w:szCs w:val="20"/>
        </w:rPr>
        <w:t xml:space="preserve"> “</w:t>
      </w:r>
      <w:r w:rsidRPr="00D414D2">
        <w:rPr>
          <w:rFonts w:ascii="Arial" w:hAnsi="Arial" w:cs="Arial"/>
          <w:i/>
          <w:color w:val="000000"/>
          <w:sz w:val="20"/>
          <w:szCs w:val="20"/>
        </w:rPr>
        <w:t>Especially at a time when financing capacity was constrained, MIGA was able to help maintain productive private sector investment by underpinning several important projects.”</w:t>
      </w:r>
    </w:p>
    <w:p w:rsidR="001959DB" w:rsidRPr="00522619" w:rsidRDefault="001959DB" w:rsidP="001959DB">
      <w:pPr>
        <w:widowControl w:val="0"/>
        <w:suppressAutoHyphens/>
        <w:spacing w:before="120" w:after="120"/>
        <w:jc w:val="both"/>
        <w:rPr>
          <w:rFonts w:ascii="Arial" w:hAnsi="Arial" w:cs="Arial"/>
          <w:bCs/>
          <w:sz w:val="20"/>
          <w:szCs w:val="20"/>
        </w:rPr>
      </w:pPr>
    </w:p>
    <w:p w:rsidR="00871B1B" w:rsidRPr="00522619" w:rsidRDefault="00871B1B" w:rsidP="00BE5D5B">
      <w:pPr>
        <w:pStyle w:val="Heading7"/>
        <w:spacing w:before="0" w:beforeAutospacing="0" w:after="0" w:afterAutospacing="0"/>
        <w:ind w:left="1152" w:right="-72" w:hanging="1152"/>
        <w:rPr>
          <w:rFonts w:ascii="Arial" w:hAnsi="Arial" w:cs="Arial"/>
          <w:b/>
          <w:bCs/>
          <w:color w:val="000000"/>
          <w:sz w:val="20"/>
          <w:szCs w:val="20"/>
        </w:rPr>
      </w:pPr>
    </w:p>
    <w:p w:rsidR="00BE5D5B" w:rsidRPr="00522619" w:rsidRDefault="00BE5D5B" w:rsidP="00BE5D5B">
      <w:pPr>
        <w:pStyle w:val="Heading7"/>
        <w:spacing w:before="0" w:beforeAutospacing="0" w:after="0" w:afterAutospacing="0"/>
        <w:ind w:left="1152" w:right="-72" w:hanging="1152"/>
        <w:rPr>
          <w:rFonts w:ascii="Arial" w:hAnsi="Arial" w:cs="Arial"/>
          <w:b/>
          <w:bCs/>
          <w:color w:val="000000"/>
          <w:sz w:val="20"/>
          <w:szCs w:val="20"/>
        </w:rPr>
      </w:pPr>
      <w:r w:rsidRPr="00522619">
        <w:rPr>
          <w:rFonts w:ascii="Arial" w:hAnsi="Arial" w:cs="Arial"/>
          <w:b/>
          <w:bCs/>
          <w:color w:val="000000"/>
          <w:sz w:val="20"/>
          <w:szCs w:val="20"/>
        </w:rPr>
        <w:t>Contacts:</w:t>
      </w:r>
    </w:p>
    <w:p w:rsidR="00D93E3A" w:rsidRPr="00522619" w:rsidRDefault="00D93E3A" w:rsidP="00BE5D5B">
      <w:pPr>
        <w:pStyle w:val="Heading7"/>
        <w:spacing w:before="0" w:beforeAutospacing="0" w:after="0" w:afterAutospacing="0"/>
        <w:ind w:left="1152" w:right="-72" w:hanging="1152"/>
        <w:rPr>
          <w:rFonts w:ascii="Arial" w:hAnsi="Arial" w:cs="Arial"/>
          <w:color w:val="000000"/>
          <w:sz w:val="20"/>
          <w:szCs w:val="20"/>
        </w:rPr>
      </w:pPr>
    </w:p>
    <w:p w:rsidR="002578D9" w:rsidRPr="00522619" w:rsidRDefault="00692B36" w:rsidP="002578D9">
      <w:pPr>
        <w:pStyle w:val="Heading7"/>
        <w:spacing w:before="0" w:beforeAutospacing="0" w:after="0" w:afterAutospacing="0"/>
        <w:ind w:left="1152" w:right="-72" w:hanging="1152"/>
        <w:rPr>
          <w:rFonts w:ascii="Arial" w:hAnsi="Arial" w:cs="Arial"/>
          <w:sz w:val="20"/>
          <w:szCs w:val="20"/>
        </w:rPr>
      </w:pPr>
      <w:r w:rsidRPr="00522619">
        <w:rPr>
          <w:rFonts w:ascii="Arial" w:hAnsi="Arial" w:cs="Arial"/>
          <w:i/>
          <w:iCs/>
          <w:color w:val="000000"/>
          <w:sz w:val="20"/>
          <w:szCs w:val="20"/>
        </w:rPr>
        <w:t xml:space="preserve">In Washington: </w:t>
      </w:r>
      <w:r w:rsidR="00E0715D" w:rsidRPr="00522619">
        <w:rPr>
          <w:rFonts w:ascii="Arial" w:hAnsi="Arial" w:cs="Arial"/>
          <w:iCs/>
          <w:color w:val="000000"/>
          <w:sz w:val="20"/>
          <w:szCs w:val="20"/>
        </w:rPr>
        <w:t xml:space="preserve">Victor </w:t>
      </w:r>
      <w:proofErr w:type="spellStart"/>
      <w:r w:rsidR="00E0715D" w:rsidRPr="00522619">
        <w:rPr>
          <w:rFonts w:ascii="Arial" w:hAnsi="Arial" w:cs="Arial"/>
          <w:iCs/>
          <w:color w:val="000000"/>
          <w:sz w:val="20"/>
          <w:szCs w:val="20"/>
        </w:rPr>
        <w:t>Neagu</w:t>
      </w:r>
      <w:proofErr w:type="spellEnd"/>
      <w:r w:rsidRPr="00522619">
        <w:rPr>
          <w:rFonts w:ascii="Arial" w:hAnsi="Arial" w:cs="Arial"/>
          <w:iCs/>
          <w:color w:val="000000"/>
          <w:sz w:val="20"/>
          <w:szCs w:val="20"/>
        </w:rPr>
        <w:t xml:space="preserve">, </w:t>
      </w:r>
      <w:r w:rsidR="00A17E89" w:rsidRPr="00522619">
        <w:rPr>
          <w:rFonts w:ascii="Arial" w:hAnsi="Arial" w:cs="Arial"/>
          <w:iCs/>
          <w:color w:val="000000"/>
          <w:sz w:val="20"/>
          <w:szCs w:val="20"/>
        </w:rPr>
        <w:t>(</w:t>
      </w:r>
      <w:r w:rsidR="00D81E42" w:rsidRPr="00522619">
        <w:rPr>
          <w:rFonts w:ascii="Arial" w:hAnsi="Arial" w:cs="Arial"/>
          <w:iCs/>
          <w:color w:val="000000"/>
          <w:sz w:val="20"/>
          <w:szCs w:val="20"/>
        </w:rPr>
        <w:t xml:space="preserve">+1 </w:t>
      </w:r>
      <w:r w:rsidR="00E0715D" w:rsidRPr="00522619">
        <w:rPr>
          <w:rFonts w:ascii="Arial" w:hAnsi="Arial" w:cs="Arial"/>
          <w:color w:val="000000"/>
          <w:sz w:val="20"/>
          <w:szCs w:val="20"/>
        </w:rPr>
        <w:t>202</w:t>
      </w:r>
      <w:r w:rsidR="00A17E89" w:rsidRPr="00522619">
        <w:rPr>
          <w:rFonts w:ascii="Arial" w:hAnsi="Arial" w:cs="Arial"/>
          <w:color w:val="000000"/>
          <w:sz w:val="20"/>
          <w:szCs w:val="20"/>
        </w:rPr>
        <w:t xml:space="preserve">) </w:t>
      </w:r>
      <w:r w:rsidR="00FA17EA" w:rsidRPr="00522619">
        <w:rPr>
          <w:rFonts w:ascii="Arial" w:hAnsi="Arial" w:cs="Arial"/>
          <w:color w:val="000000"/>
          <w:sz w:val="20"/>
          <w:szCs w:val="20"/>
        </w:rPr>
        <w:t>458</w:t>
      </w:r>
      <w:r w:rsidR="00E0715D" w:rsidRPr="00522619">
        <w:rPr>
          <w:rFonts w:ascii="Arial" w:hAnsi="Arial" w:cs="Arial"/>
          <w:color w:val="000000"/>
          <w:sz w:val="20"/>
          <w:szCs w:val="20"/>
        </w:rPr>
        <w:t>-</w:t>
      </w:r>
      <w:r w:rsidR="00FA17EA" w:rsidRPr="00522619">
        <w:rPr>
          <w:rFonts w:ascii="Arial" w:hAnsi="Arial" w:cs="Arial"/>
          <w:color w:val="000000"/>
          <w:sz w:val="20"/>
          <w:szCs w:val="20"/>
        </w:rPr>
        <w:t>2736</w:t>
      </w:r>
      <w:r w:rsidRPr="00522619">
        <w:rPr>
          <w:rFonts w:ascii="Arial" w:hAnsi="Arial" w:cs="Arial"/>
          <w:iCs/>
          <w:color w:val="000000"/>
          <w:sz w:val="20"/>
          <w:szCs w:val="20"/>
        </w:rPr>
        <w:t xml:space="preserve">, </w:t>
      </w:r>
      <w:hyperlink r:id="rId9" w:history="1">
        <w:r w:rsidR="00E0715D" w:rsidRPr="00522619">
          <w:rPr>
            <w:rStyle w:val="Hyperlink"/>
            <w:rFonts w:ascii="Arial" w:hAnsi="Arial" w:cs="Arial"/>
            <w:iCs/>
            <w:sz w:val="20"/>
            <w:szCs w:val="20"/>
          </w:rPr>
          <w:t>vneag</w:t>
        </w:r>
        <w:r w:rsidR="00494995" w:rsidRPr="00522619">
          <w:rPr>
            <w:rStyle w:val="Hyperlink"/>
            <w:rFonts w:ascii="Arial" w:hAnsi="Arial" w:cs="Arial"/>
            <w:iCs/>
            <w:sz w:val="20"/>
            <w:szCs w:val="20"/>
          </w:rPr>
          <w:t>u</w:t>
        </w:r>
        <w:r w:rsidR="00E0715D" w:rsidRPr="00522619">
          <w:rPr>
            <w:rStyle w:val="Hyperlink"/>
            <w:rFonts w:ascii="Arial" w:hAnsi="Arial" w:cs="Arial"/>
            <w:iCs/>
            <w:sz w:val="20"/>
            <w:szCs w:val="20"/>
          </w:rPr>
          <w:t>@worldbank.org</w:t>
        </w:r>
      </w:hyperlink>
    </w:p>
    <w:p w:rsidR="002578D9" w:rsidRPr="00522619" w:rsidRDefault="002578D9" w:rsidP="002578D9">
      <w:pPr>
        <w:pStyle w:val="Heading7"/>
        <w:spacing w:before="0" w:beforeAutospacing="0" w:after="0" w:afterAutospacing="0"/>
        <w:ind w:left="1152" w:right="-72" w:hanging="1152"/>
        <w:rPr>
          <w:rFonts w:ascii="Arial" w:hAnsi="Arial" w:cs="Arial"/>
          <w:iCs/>
          <w:color w:val="000000"/>
          <w:sz w:val="20"/>
          <w:szCs w:val="20"/>
        </w:rPr>
      </w:pPr>
    </w:p>
    <w:p w:rsidR="007C0FA2" w:rsidRPr="00522619" w:rsidRDefault="007C0FA2" w:rsidP="00D93E3A">
      <w:pPr>
        <w:pStyle w:val="Heading7"/>
        <w:spacing w:before="0" w:beforeAutospacing="0" w:after="0" w:afterAutospacing="0" w:line="480" w:lineRule="auto"/>
        <w:ind w:left="1152" w:right="-72" w:hanging="1152"/>
        <w:rPr>
          <w:rFonts w:ascii="Arial" w:hAnsi="Arial" w:cs="Arial"/>
          <w:color w:val="000000"/>
          <w:sz w:val="20"/>
          <w:szCs w:val="20"/>
        </w:rPr>
      </w:pPr>
    </w:p>
    <w:p w:rsidR="007C0FA2" w:rsidRPr="00522619" w:rsidRDefault="00E0715D" w:rsidP="00BF2196">
      <w:pPr>
        <w:jc w:val="center"/>
        <w:rPr>
          <w:rFonts w:ascii="Arial" w:hAnsi="Arial" w:cs="Arial"/>
          <w:sz w:val="20"/>
          <w:szCs w:val="20"/>
        </w:rPr>
      </w:pPr>
      <w:r w:rsidRPr="00522619">
        <w:rPr>
          <w:rFonts w:ascii="Arial" w:hAnsi="Arial" w:cs="Arial"/>
          <w:iCs/>
          <w:color w:val="000000"/>
          <w:sz w:val="20"/>
          <w:szCs w:val="20"/>
        </w:rPr>
        <w:t>For more information about the World Bank:</w:t>
      </w:r>
      <w:r w:rsidR="007C0FA2" w:rsidRPr="00522619">
        <w:rPr>
          <w:rFonts w:ascii="Arial" w:hAnsi="Arial" w:cs="Arial"/>
          <w:iCs/>
          <w:color w:val="000000"/>
          <w:sz w:val="20"/>
          <w:szCs w:val="20"/>
        </w:rPr>
        <w:t xml:space="preserve"> </w:t>
      </w:r>
      <w:hyperlink r:id="rId10" w:history="1">
        <w:r w:rsidR="003159AA" w:rsidRPr="00522619">
          <w:rPr>
            <w:rStyle w:val="Hyperlink"/>
            <w:rFonts w:ascii="Arial" w:hAnsi="Arial" w:cs="Arial"/>
            <w:iCs/>
            <w:sz w:val="20"/>
            <w:szCs w:val="20"/>
          </w:rPr>
          <w:t>http://www.worldbank.org</w:t>
        </w:r>
      </w:hyperlink>
    </w:p>
    <w:p w:rsidR="00BF2196" w:rsidRPr="00522619" w:rsidRDefault="00BF2196" w:rsidP="00BF2196">
      <w:pPr>
        <w:jc w:val="center"/>
        <w:rPr>
          <w:rFonts w:ascii="Arial" w:hAnsi="Arial" w:cs="Arial"/>
          <w:iCs/>
          <w:sz w:val="20"/>
          <w:szCs w:val="20"/>
        </w:rPr>
      </w:pPr>
      <w:r w:rsidRPr="00522619">
        <w:rPr>
          <w:rFonts w:ascii="Arial" w:hAnsi="Arial" w:cs="Arial"/>
          <w:iCs/>
          <w:color w:val="000000"/>
          <w:sz w:val="20"/>
          <w:szCs w:val="20"/>
        </w:rPr>
        <w:t xml:space="preserve">Visit us on </w:t>
      </w:r>
      <w:proofErr w:type="spellStart"/>
      <w:r w:rsidRPr="00522619">
        <w:rPr>
          <w:rFonts w:ascii="Arial" w:hAnsi="Arial" w:cs="Arial"/>
          <w:iCs/>
          <w:color w:val="000000"/>
          <w:sz w:val="20"/>
          <w:szCs w:val="20"/>
        </w:rPr>
        <w:t>Facebook</w:t>
      </w:r>
      <w:proofErr w:type="spellEnd"/>
      <w:r w:rsidRPr="00522619">
        <w:rPr>
          <w:rFonts w:ascii="Arial" w:hAnsi="Arial" w:cs="Arial"/>
          <w:iCs/>
          <w:color w:val="000000"/>
          <w:sz w:val="20"/>
          <w:szCs w:val="20"/>
        </w:rPr>
        <w:t xml:space="preserve">: </w:t>
      </w:r>
      <w:hyperlink r:id="rId11" w:history="1">
        <w:r w:rsidR="00A0789C" w:rsidRPr="00522619">
          <w:rPr>
            <w:rStyle w:val="Hyperlink"/>
            <w:rFonts w:ascii="Arial" w:hAnsi="Arial" w:cs="Arial"/>
            <w:iCs/>
            <w:sz w:val="20"/>
            <w:szCs w:val="20"/>
          </w:rPr>
          <w:t>http://www.facebook.com/worldbank</w:t>
        </w:r>
      </w:hyperlink>
    </w:p>
    <w:p w:rsidR="00D93E3A" w:rsidRPr="00522619" w:rsidRDefault="00BF2196" w:rsidP="00A0789C">
      <w:pPr>
        <w:jc w:val="center"/>
        <w:rPr>
          <w:rFonts w:ascii="Arial" w:hAnsi="Arial" w:cs="Arial"/>
          <w:sz w:val="20"/>
          <w:szCs w:val="20"/>
        </w:rPr>
      </w:pPr>
      <w:r w:rsidRPr="00522619">
        <w:rPr>
          <w:rFonts w:ascii="Arial" w:hAnsi="Arial" w:cs="Arial"/>
          <w:iCs/>
          <w:color w:val="000000"/>
          <w:sz w:val="20"/>
          <w:szCs w:val="20"/>
        </w:rPr>
        <w:t xml:space="preserve">Be updated via Twitter: </w:t>
      </w:r>
      <w:r w:rsidR="00A0789C" w:rsidRPr="00522619">
        <w:rPr>
          <w:rFonts w:ascii="Arial" w:hAnsi="Arial" w:cs="Arial"/>
          <w:iCs/>
          <w:color w:val="0000FF"/>
          <w:sz w:val="20"/>
          <w:szCs w:val="20"/>
          <w:u w:val="single"/>
        </w:rPr>
        <w:t>http://</w:t>
      </w:r>
      <w:hyperlink r:id="rId12" w:history="1">
        <w:r w:rsidR="00A0789C" w:rsidRPr="00522619">
          <w:rPr>
            <w:rStyle w:val="Hyperlink"/>
            <w:rFonts w:ascii="Arial" w:hAnsi="Arial" w:cs="Arial"/>
            <w:iCs/>
            <w:sz w:val="20"/>
            <w:szCs w:val="20"/>
          </w:rPr>
          <w:t>www.twitter.com/worldbank</w:t>
        </w:r>
      </w:hyperlink>
    </w:p>
    <w:p w:rsidR="00A0789C" w:rsidRPr="00522619" w:rsidRDefault="00A0789C" w:rsidP="00A0789C">
      <w:pPr>
        <w:jc w:val="center"/>
        <w:rPr>
          <w:rFonts w:ascii="Arial" w:hAnsi="Arial" w:cs="Arial"/>
          <w:iCs/>
          <w:color w:val="000000"/>
          <w:sz w:val="20"/>
          <w:szCs w:val="20"/>
        </w:rPr>
      </w:pPr>
      <w:r w:rsidRPr="00522619">
        <w:rPr>
          <w:rFonts w:ascii="Arial" w:hAnsi="Arial" w:cs="Arial"/>
          <w:iCs/>
          <w:color w:val="000000"/>
          <w:sz w:val="20"/>
          <w:szCs w:val="20"/>
        </w:rPr>
        <w:t xml:space="preserve">For our YouTube channel: </w:t>
      </w:r>
      <w:r w:rsidRPr="00522619">
        <w:rPr>
          <w:rFonts w:ascii="Arial" w:hAnsi="Arial" w:cs="Arial"/>
          <w:iCs/>
          <w:color w:val="0000FF"/>
          <w:sz w:val="20"/>
          <w:szCs w:val="20"/>
          <w:u w:val="single"/>
        </w:rPr>
        <w:t>http://</w:t>
      </w:r>
      <w:hyperlink r:id="rId13" w:history="1">
        <w:r w:rsidRPr="00522619">
          <w:rPr>
            <w:rStyle w:val="Hyperlink"/>
            <w:rFonts w:ascii="Arial" w:hAnsi="Arial" w:cs="Arial"/>
            <w:iCs/>
            <w:sz w:val="20"/>
            <w:szCs w:val="20"/>
          </w:rPr>
          <w:t>www.youtube.com/worldbank</w:t>
        </w:r>
      </w:hyperlink>
    </w:p>
    <w:sectPr w:rsidR="00A0789C" w:rsidRPr="00522619" w:rsidSect="00D93E3A">
      <w:footerReference w:type="default" r:id="rId14"/>
      <w:pgSz w:w="12240" w:h="15840"/>
      <w:pgMar w:top="1170" w:right="1440" w:bottom="180" w:left="13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6C" w:rsidRDefault="00842B6C">
      <w:r>
        <w:separator/>
      </w:r>
    </w:p>
  </w:endnote>
  <w:endnote w:type="continuationSeparator" w:id="0">
    <w:p w:rsidR="00842B6C" w:rsidRDefault="00842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A" w:rsidRDefault="001C025A">
    <w:pPr>
      <w:pStyle w:val="Footer"/>
      <w:jc w:val="center"/>
    </w:pPr>
  </w:p>
  <w:p w:rsidR="001C025A" w:rsidRDefault="001C025A" w:rsidP="00A43A6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6C" w:rsidRDefault="00842B6C">
      <w:r>
        <w:separator/>
      </w:r>
    </w:p>
  </w:footnote>
  <w:footnote w:type="continuationSeparator" w:id="0">
    <w:p w:rsidR="00842B6C" w:rsidRDefault="00842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527AE8"/>
    <w:multiLevelType w:val="hybridMultilevel"/>
    <w:tmpl w:val="66B481AE"/>
    <w:lvl w:ilvl="0" w:tplc="9C145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E2A62"/>
    <w:multiLevelType w:val="hybridMultilevel"/>
    <w:tmpl w:val="3BA0BA9A"/>
    <w:lvl w:ilvl="0" w:tplc="24E4BEB2">
      <w:start w:val="1"/>
      <w:numFmt w:val="bullet"/>
      <w:lvlText w:val="•"/>
      <w:lvlJc w:val="left"/>
      <w:pPr>
        <w:tabs>
          <w:tab w:val="num" w:pos="720"/>
        </w:tabs>
        <w:ind w:left="720" w:hanging="360"/>
      </w:pPr>
      <w:rPr>
        <w:rFonts w:ascii="Arial" w:hAnsi="Arial" w:hint="default"/>
      </w:rPr>
    </w:lvl>
    <w:lvl w:ilvl="1" w:tplc="24124DA6" w:tentative="1">
      <w:start w:val="1"/>
      <w:numFmt w:val="bullet"/>
      <w:lvlText w:val="•"/>
      <w:lvlJc w:val="left"/>
      <w:pPr>
        <w:tabs>
          <w:tab w:val="num" w:pos="1440"/>
        </w:tabs>
        <w:ind w:left="1440" w:hanging="360"/>
      </w:pPr>
      <w:rPr>
        <w:rFonts w:ascii="Arial" w:hAnsi="Arial" w:hint="default"/>
      </w:rPr>
    </w:lvl>
    <w:lvl w:ilvl="2" w:tplc="368A9656" w:tentative="1">
      <w:start w:val="1"/>
      <w:numFmt w:val="bullet"/>
      <w:lvlText w:val="•"/>
      <w:lvlJc w:val="left"/>
      <w:pPr>
        <w:tabs>
          <w:tab w:val="num" w:pos="2160"/>
        </w:tabs>
        <w:ind w:left="2160" w:hanging="360"/>
      </w:pPr>
      <w:rPr>
        <w:rFonts w:ascii="Arial" w:hAnsi="Arial" w:hint="default"/>
      </w:rPr>
    </w:lvl>
    <w:lvl w:ilvl="3" w:tplc="EF9024FE" w:tentative="1">
      <w:start w:val="1"/>
      <w:numFmt w:val="bullet"/>
      <w:lvlText w:val="•"/>
      <w:lvlJc w:val="left"/>
      <w:pPr>
        <w:tabs>
          <w:tab w:val="num" w:pos="2880"/>
        </w:tabs>
        <w:ind w:left="2880" w:hanging="360"/>
      </w:pPr>
      <w:rPr>
        <w:rFonts w:ascii="Arial" w:hAnsi="Arial" w:hint="default"/>
      </w:rPr>
    </w:lvl>
    <w:lvl w:ilvl="4" w:tplc="9D6825FC" w:tentative="1">
      <w:start w:val="1"/>
      <w:numFmt w:val="bullet"/>
      <w:lvlText w:val="•"/>
      <w:lvlJc w:val="left"/>
      <w:pPr>
        <w:tabs>
          <w:tab w:val="num" w:pos="3600"/>
        </w:tabs>
        <w:ind w:left="3600" w:hanging="360"/>
      </w:pPr>
      <w:rPr>
        <w:rFonts w:ascii="Arial" w:hAnsi="Arial" w:hint="default"/>
      </w:rPr>
    </w:lvl>
    <w:lvl w:ilvl="5" w:tplc="A412E72A" w:tentative="1">
      <w:start w:val="1"/>
      <w:numFmt w:val="bullet"/>
      <w:lvlText w:val="•"/>
      <w:lvlJc w:val="left"/>
      <w:pPr>
        <w:tabs>
          <w:tab w:val="num" w:pos="4320"/>
        </w:tabs>
        <w:ind w:left="4320" w:hanging="360"/>
      </w:pPr>
      <w:rPr>
        <w:rFonts w:ascii="Arial" w:hAnsi="Arial" w:hint="default"/>
      </w:rPr>
    </w:lvl>
    <w:lvl w:ilvl="6" w:tplc="FE2EE7EE" w:tentative="1">
      <w:start w:val="1"/>
      <w:numFmt w:val="bullet"/>
      <w:lvlText w:val="•"/>
      <w:lvlJc w:val="left"/>
      <w:pPr>
        <w:tabs>
          <w:tab w:val="num" w:pos="5040"/>
        </w:tabs>
        <w:ind w:left="5040" w:hanging="360"/>
      </w:pPr>
      <w:rPr>
        <w:rFonts w:ascii="Arial" w:hAnsi="Arial" w:hint="default"/>
      </w:rPr>
    </w:lvl>
    <w:lvl w:ilvl="7" w:tplc="34BC9F40" w:tentative="1">
      <w:start w:val="1"/>
      <w:numFmt w:val="bullet"/>
      <w:lvlText w:val="•"/>
      <w:lvlJc w:val="left"/>
      <w:pPr>
        <w:tabs>
          <w:tab w:val="num" w:pos="5760"/>
        </w:tabs>
        <w:ind w:left="5760" w:hanging="360"/>
      </w:pPr>
      <w:rPr>
        <w:rFonts w:ascii="Arial" w:hAnsi="Arial" w:hint="default"/>
      </w:rPr>
    </w:lvl>
    <w:lvl w:ilvl="8" w:tplc="CB10D19C" w:tentative="1">
      <w:start w:val="1"/>
      <w:numFmt w:val="bullet"/>
      <w:lvlText w:val="•"/>
      <w:lvlJc w:val="left"/>
      <w:pPr>
        <w:tabs>
          <w:tab w:val="num" w:pos="6480"/>
        </w:tabs>
        <w:ind w:left="6480" w:hanging="360"/>
      </w:pPr>
      <w:rPr>
        <w:rFonts w:ascii="Arial" w:hAnsi="Arial" w:hint="default"/>
      </w:rPr>
    </w:lvl>
  </w:abstractNum>
  <w:abstractNum w:abstractNumId="3">
    <w:nsid w:val="33AD2F51"/>
    <w:multiLevelType w:val="hybridMultilevel"/>
    <w:tmpl w:val="0A60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B6EE5"/>
    <w:multiLevelType w:val="hybridMultilevel"/>
    <w:tmpl w:val="2EB6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C4153"/>
    <w:multiLevelType w:val="hybridMultilevel"/>
    <w:tmpl w:val="98C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138D5"/>
    <w:multiLevelType w:val="hybridMultilevel"/>
    <w:tmpl w:val="07EE711A"/>
    <w:lvl w:ilvl="0" w:tplc="63F0748A">
      <w:start w:val="1"/>
      <w:numFmt w:val="bullet"/>
      <w:lvlText w:val="•"/>
      <w:lvlJc w:val="left"/>
      <w:pPr>
        <w:tabs>
          <w:tab w:val="num" w:pos="720"/>
        </w:tabs>
        <w:ind w:left="720" w:hanging="360"/>
      </w:pPr>
      <w:rPr>
        <w:rFonts w:ascii="Arial" w:hAnsi="Arial" w:hint="default"/>
      </w:rPr>
    </w:lvl>
    <w:lvl w:ilvl="1" w:tplc="4E8495DE">
      <w:start w:val="1"/>
      <w:numFmt w:val="bullet"/>
      <w:lvlText w:val="•"/>
      <w:lvlJc w:val="left"/>
      <w:pPr>
        <w:tabs>
          <w:tab w:val="num" w:pos="1440"/>
        </w:tabs>
        <w:ind w:left="1440" w:hanging="360"/>
      </w:pPr>
      <w:rPr>
        <w:rFonts w:ascii="Arial" w:hAnsi="Arial" w:hint="default"/>
      </w:rPr>
    </w:lvl>
    <w:lvl w:ilvl="2" w:tplc="E4E48FAC" w:tentative="1">
      <w:start w:val="1"/>
      <w:numFmt w:val="bullet"/>
      <w:lvlText w:val="•"/>
      <w:lvlJc w:val="left"/>
      <w:pPr>
        <w:tabs>
          <w:tab w:val="num" w:pos="2160"/>
        </w:tabs>
        <w:ind w:left="2160" w:hanging="360"/>
      </w:pPr>
      <w:rPr>
        <w:rFonts w:ascii="Arial" w:hAnsi="Arial" w:hint="default"/>
      </w:rPr>
    </w:lvl>
    <w:lvl w:ilvl="3" w:tplc="5D2A6DD6" w:tentative="1">
      <w:start w:val="1"/>
      <w:numFmt w:val="bullet"/>
      <w:lvlText w:val="•"/>
      <w:lvlJc w:val="left"/>
      <w:pPr>
        <w:tabs>
          <w:tab w:val="num" w:pos="2880"/>
        </w:tabs>
        <w:ind w:left="2880" w:hanging="360"/>
      </w:pPr>
      <w:rPr>
        <w:rFonts w:ascii="Arial" w:hAnsi="Arial" w:hint="default"/>
      </w:rPr>
    </w:lvl>
    <w:lvl w:ilvl="4" w:tplc="4114FEB8" w:tentative="1">
      <w:start w:val="1"/>
      <w:numFmt w:val="bullet"/>
      <w:lvlText w:val="•"/>
      <w:lvlJc w:val="left"/>
      <w:pPr>
        <w:tabs>
          <w:tab w:val="num" w:pos="3600"/>
        </w:tabs>
        <w:ind w:left="3600" w:hanging="360"/>
      </w:pPr>
      <w:rPr>
        <w:rFonts w:ascii="Arial" w:hAnsi="Arial" w:hint="default"/>
      </w:rPr>
    </w:lvl>
    <w:lvl w:ilvl="5" w:tplc="996645DA" w:tentative="1">
      <w:start w:val="1"/>
      <w:numFmt w:val="bullet"/>
      <w:lvlText w:val="•"/>
      <w:lvlJc w:val="left"/>
      <w:pPr>
        <w:tabs>
          <w:tab w:val="num" w:pos="4320"/>
        </w:tabs>
        <w:ind w:left="4320" w:hanging="360"/>
      </w:pPr>
      <w:rPr>
        <w:rFonts w:ascii="Arial" w:hAnsi="Arial" w:hint="default"/>
      </w:rPr>
    </w:lvl>
    <w:lvl w:ilvl="6" w:tplc="4AFE669E" w:tentative="1">
      <w:start w:val="1"/>
      <w:numFmt w:val="bullet"/>
      <w:lvlText w:val="•"/>
      <w:lvlJc w:val="left"/>
      <w:pPr>
        <w:tabs>
          <w:tab w:val="num" w:pos="5040"/>
        </w:tabs>
        <w:ind w:left="5040" w:hanging="360"/>
      </w:pPr>
      <w:rPr>
        <w:rFonts w:ascii="Arial" w:hAnsi="Arial" w:hint="default"/>
      </w:rPr>
    </w:lvl>
    <w:lvl w:ilvl="7" w:tplc="33B072E6" w:tentative="1">
      <w:start w:val="1"/>
      <w:numFmt w:val="bullet"/>
      <w:lvlText w:val="•"/>
      <w:lvlJc w:val="left"/>
      <w:pPr>
        <w:tabs>
          <w:tab w:val="num" w:pos="5760"/>
        </w:tabs>
        <w:ind w:left="5760" w:hanging="360"/>
      </w:pPr>
      <w:rPr>
        <w:rFonts w:ascii="Arial" w:hAnsi="Arial" w:hint="default"/>
      </w:rPr>
    </w:lvl>
    <w:lvl w:ilvl="8" w:tplc="4B5EB274" w:tentative="1">
      <w:start w:val="1"/>
      <w:numFmt w:val="bullet"/>
      <w:lvlText w:val="•"/>
      <w:lvlJc w:val="left"/>
      <w:pPr>
        <w:tabs>
          <w:tab w:val="num" w:pos="6480"/>
        </w:tabs>
        <w:ind w:left="6480" w:hanging="360"/>
      </w:pPr>
      <w:rPr>
        <w:rFonts w:ascii="Arial" w:hAnsi="Arial" w:hint="default"/>
      </w:rPr>
    </w:lvl>
  </w:abstractNum>
  <w:abstractNum w:abstractNumId="7">
    <w:nsid w:val="4C5768A3"/>
    <w:multiLevelType w:val="hybridMultilevel"/>
    <w:tmpl w:val="4AFE5F4E"/>
    <w:lvl w:ilvl="0" w:tplc="9FCCEA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35A56"/>
    <w:multiLevelType w:val="hybridMultilevel"/>
    <w:tmpl w:val="BE6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BC347A"/>
    <w:rsid w:val="00000341"/>
    <w:rsid w:val="00016AD9"/>
    <w:rsid w:val="00017718"/>
    <w:rsid w:val="00021491"/>
    <w:rsid w:val="00035A47"/>
    <w:rsid w:val="00043020"/>
    <w:rsid w:val="00054DCD"/>
    <w:rsid w:val="00063F71"/>
    <w:rsid w:val="0006653D"/>
    <w:rsid w:val="00066CFA"/>
    <w:rsid w:val="000709CB"/>
    <w:rsid w:val="00094F7F"/>
    <w:rsid w:val="000B1F52"/>
    <w:rsid w:val="000C20A6"/>
    <w:rsid w:val="000C4C27"/>
    <w:rsid w:val="000C7C41"/>
    <w:rsid w:val="000D178B"/>
    <w:rsid w:val="00101B99"/>
    <w:rsid w:val="00114317"/>
    <w:rsid w:val="00120B57"/>
    <w:rsid w:val="001633F4"/>
    <w:rsid w:val="001719C5"/>
    <w:rsid w:val="001742C7"/>
    <w:rsid w:val="00177CEB"/>
    <w:rsid w:val="00195142"/>
    <w:rsid w:val="001959DB"/>
    <w:rsid w:val="001C025A"/>
    <w:rsid w:val="001C5E65"/>
    <w:rsid w:val="001C6A37"/>
    <w:rsid w:val="001D427C"/>
    <w:rsid w:val="001E628A"/>
    <w:rsid w:val="001F6453"/>
    <w:rsid w:val="002017C8"/>
    <w:rsid w:val="00205204"/>
    <w:rsid w:val="002559FA"/>
    <w:rsid w:val="002578D9"/>
    <w:rsid w:val="00295810"/>
    <w:rsid w:val="00297DD7"/>
    <w:rsid w:val="002B5B00"/>
    <w:rsid w:val="002D2806"/>
    <w:rsid w:val="002E0FAC"/>
    <w:rsid w:val="00303984"/>
    <w:rsid w:val="00311FEC"/>
    <w:rsid w:val="003159AA"/>
    <w:rsid w:val="00326C1B"/>
    <w:rsid w:val="0033378E"/>
    <w:rsid w:val="00336C7D"/>
    <w:rsid w:val="00346B04"/>
    <w:rsid w:val="00367CB8"/>
    <w:rsid w:val="00370259"/>
    <w:rsid w:val="00376A0E"/>
    <w:rsid w:val="0039124F"/>
    <w:rsid w:val="003A56E7"/>
    <w:rsid w:val="003B3E54"/>
    <w:rsid w:val="003B64C7"/>
    <w:rsid w:val="003E7B3F"/>
    <w:rsid w:val="00402578"/>
    <w:rsid w:val="004065BA"/>
    <w:rsid w:val="00416C6F"/>
    <w:rsid w:val="00430A4E"/>
    <w:rsid w:val="00435AF2"/>
    <w:rsid w:val="00437373"/>
    <w:rsid w:val="00437AD6"/>
    <w:rsid w:val="0045547C"/>
    <w:rsid w:val="00464125"/>
    <w:rsid w:val="00467192"/>
    <w:rsid w:val="00467AF1"/>
    <w:rsid w:val="00470570"/>
    <w:rsid w:val="004755E0"/>
    <w:rsid w:val="00494995"/>
    <w:rsid w:val="00497618"/>
    <w:rsid w:val="004D2B0D"/>
    <w:rsid w:val="004E53FC"/>
    <w:rsid w:val="004F4235"/>
    <w:rsid w:val="00512F0C"/>
    <w:rsid w:val="00520862"/>
    <w:rsid w:val="00522619"/>
    <w:rsid w:val="0053431B"/>
    <w:rsid w:val="005353F3"/>
    <w:rsid w:val="00547891"/>
    <w:rsid w:val="0055667B"/>
    <w:rsid w:val="005576C3"/>
    <w:rsid w:val="00577992"/>
    <w:rsid w:val="005B5846"/>
    <w:rsid w:val="005D37A8"/>
    <w:rsid w:val="005D7233"/>
    <w:rsid w:val="005D76D1"/>
    <w:rsid w:val="00617CEC"/>
    <w:rsid w:val="00620BC5"/>
    <w:rsid w:val="006237A6"/>
    <w:rsid w:val="00625E8B"/>
    <w:rsid w:val="00645A1D"/>
    <w:rsid w:val="00650043"/>
    <w:rsid w:val="00651F97"/>
    <w:rsid w:val="00656D35"/>
    <w:rsid w:val="00661346"/>
    <w:rsid w:val="006651BA"/>
    <w:rsid w:val="00667D59"/>
    <w:rsid w:val="00692B36"/>
    <w:rsid w:val="006A69CC"/>
    <w:rsid w:val="006E1B1C"/>
    <w:rsid w:val="006F2553"/>
    <w:rsid w:val="00701B17"/>
    <w:rsid w:val="00703C3C"/>
    <w:rsid w:val="0072240C"/>
    <w:rsid w:val="00741A90"/>
    <w:rsid w:val="00743993"/>
    <w:rsid w:val="0074544E"/>
    <w:rsid w:val="00751FE1"/>
    <w:rsid w:val="00766634"/>
    <w:rsid w:val="00771A20"/>
    <w:rsid w:val="00775DB4"/>
    <w:rsid w:val="00780975"/>
    <w:rsid w:val="0078161C"/>
    <w:rsid w:val="007B1B4D"/>
    <w:rsid w:val="007B5087"/>
    <w:rsid w:val="007B5FDB"/>
    <w:rsid w:val="007C0FA2"/>
    <w:rsid w:val="007D6E9D"/>
    <w:rsid w:val="007E1E50"/>
    <w:rsid w:val="007F2CFC"/>
    <w:rsid w:val="00806862"/>
    <w:rsid w:val="00810C87"/>
    <w:rsid w:val="00813749"/>
    <w:rsid w:val="008157BF"/>
    <w:rsid w:val="0081731B"/>
    <w:rsid w:val="00822550"/>
    <w:rsid w:val="008353E5"/>
    <w:rsid w:val="00836BDD"/>
    <w:rsid w:val="008374B4"/>
    <w:rsid w:val="00842B6C"/>
    <w:rsid w:val="00853B3A"/>
    <w:rsid w:val="008561DF"/>
    <w:rsid w:val="00871B1B"/>
    <w:rsid w:val="00874C18"/>
    <w:rsid w:val="00890613"/>
    <w:rsid w:val="008B0EB1"/>
    <w:rsid w:val="008B5CD7"/>
    <w:rsid w:val="008C3B1B"/>
    <w:rsid w:val="00905566"/>
    <w:rsid w:val="009168F3"/>
    <w:rsid w:val="00925C83"/>
    <w:rsid w:val="0093262D"/>
    <w:rsid w:val="00946160"/>
    <w:rsid w:val="0097700C"/>
    <w:rsid w:val="009B66DF"/>
    <w:rsid w:val="009E223D"/>
    <w:rsid w:val="009E6E51"/>
    <w:rsid w:val="009E7B45"/>
    <w:rsid w:val="00A06880"/>
    <w:rsid w:val="00A06F1C"/>
    <w:rsid w:val="00A0789C"/>
    <w:rsid w:val="00A17E89"/>
    <w:rsid w:val="00A43A6E"/>
    <w:rsid w:val="00A43AC2"/>
    <w:rsid w:val="00A455D8"/>
    <w:rsid w:val="00A50AFA"/>
    <w:rsid w:val="00A517ED"/>
    <w:rsid w:val="00A77BA9"/>
    <w:rsid w:val="00A92CC4"/>
    <w:rsid w:val="00AB44D6"/>
    <w:rsid w:val="00AC187A"/>
    <w:rsid w:val="00AC25DF"/>
    <w:rsid w:val="00AC3F43"/>
    <w:rsid w:val="00AF7827"/>
    <w:rsid w:val="00B01BA6"/>
    <w:rsid w:val="00B033E0"/>
    <w:rsid w:val="00B215E4"/>
    <w:rsid w:val="00B310DE"/>
    <w:rsid w:val="00B470AE"/>
    <w:rsid w:val="00B5001E"/>
    <w:rsid w:val="00B60A9C"/>
    <w:rsid w:val="00B61C3A"/>
    <w:rsid w:val="00B6675B"/>
    <w:rsid w:val="00B774BB"/>
    <w:rsid w:val="00B8168A"/>
    <w:rsid w:val="00B87669"/>
    <w:rsid w:val="00B946F3"/>
    <w:rsid w:val="00BC347A"/>
    <w:rsid w:val="00BD40B1"/>
    <w:rsid w:val="00BD4935"/>
    <w:rsid w:val="00BE5104"/>
    <w:rsid w:val="00BE5D5B"/>
    <w:rsid w:val="00BF2196"/>
    <w:rsid w:val="00BF77FC"/>
    <w:rsid w:val="00C06ECF"/>
    <w:rsid w:val="00C14B6C"/>
    <w:rsid w:val="00C302A9"/>
    <w:rsid w:val="00C479D5"/>
    <w:rsid w:val="00C5711D"/>
    <w:rsid w:val="00C70FD8"/>
    <w:rsid w:val="00C7282C"/>
    <w:rsid w:val="00C9764F"/>
    <w:rsid w:val="00CA38BD"/>
    <w:rsid w:val="00CD1BEE"/>
    <w:rsid w:val="00CD5495"/>
    <w:rsid w:val="00CE4634"/>
    <w:rsid w:val="00CE5B7A"/>
    <w:rsid w:val="00CF1010"/>
    <w:rsid w:val="00CF37F5"/>
    <w:rsid w:val="00CF6CCC"/>
    <w:rsid w:val="00D0300A"/>
    <w:rsid w:val="00D16F3D"/>
    <w:rsid w:val="00D32E38"/>
    <w:rsid w:val="00D414D2"/>
    <w:rsid w:val="00D4576B"/>
    <w:rsid w:val="00D50F67"/>
    <w:rsid w:val="00D51D7C"/>
    <w:rsid w:val="00D61109"/>
    <w:rsid w:val="00D67BC2"/>
    <w:rsid w:val="00D70DAD"/>
    <w:rsid w:val="00D77D25"/>
    <w:rsid w:val="00D81E42"/>
    <w:rsid w:val="00D93E3A"/>
    <w:rsid w:val="00DC625E"/>
    <w:rsid w:val="00DD3D03"/>
    <w:rsid w:val="00DF589A"/>
    <w:rsid w:val="00E0715D"/>
    <w:rsid w:val="00E15695"/>
    <w:rsid w:val="00E17334"/>
    <w:rsid w:val="00E35D03"/>
    <w:rsid w:val="00E434D1"/>
    <w:rsid w:val="00E43B00"/>
    <w:rsid w:val="00E525FC"/>
    <w:rsid w:val="00E5593C"/>
    <w:rsid w:val="00E6158E"/>
    <w:rsid w:val="00E624E8"/>
    <w:rsid w:val="00E81976"/>
    <w:rsid w:val="00E868A6"/>
    <w:rsid w:val="00E93BD6"/>
    <w:rsid w:val="00EC413D"/>
    <w:rsid w:val="00EC7741"/>
    <w:rsid w:val="00EF4C41"/>
    <w:rsid w:val="00EF575A"/>
    <w:rsid w:val="00F05C1A"/>
    <w:rsid w:val="00F13242"/>
    <w:rsid w:val="00F52E89"/>
    <w:rsid w:val="00F554C6"/>
    <w:rsid w:val="00F7725B"/>
    <w:rsid w:val="00F80771"/>
    <w:rsid w:val="00F92348"/>
    <w:rsid w:val="00F94101"/>
    <w:rsid w:val="00FA17EA"/>
    <w:rsid w:val="00FB34FB"/>
    <w:rsid w:val="00FB521B"/>
    <w:rsid w:val="00FC381B"/>
    <w:rsid w:val="00FE0D8D"/>
    <w:rsid w:val="00FE63A6"/>
    <w:rsid w:val="00FF6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link w:val="FooterChar"/>
    <w:uiPriority w:val="99"/>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EndnoteText">
    <w:name w:val="endnote text"/>
    <w:basedOn w:val="Normal"/>
    <w:link w:val="EndnoteTextChar"/>
    <w:rsid w:val="00656D35"/>
    <w:rPr>
      <w:sz w:val="20"/>
      <w:szCs w:val="20"/>
    </w:rPr>
  </w:style>
  <w:style w:type="character" w:customStyle="1" w:styleId="EndnoteTextChar">
    <w:name w:val="Endnote Text Char"/>
    <w:basedOn w:val="DefaultParagraphFont"/>
    <w:link w:val="EndnoteText"/>
    <w:rsid w:val="00656D35"/>
  </w:style>
  <w:style w:type="character" w:styleId="EndnoteReference">
    <w:name w:val="endnote reference"/>
    <w:basedOn w:val="DefaultParagraphFont"/>
    <w:rsid w:val="00656D35"/>
    <w:rPr>
      <w:vertAlign w:val="superscript"/>
    </w:rPr>
  </w:style>
  <w:style w:type="paragraph" w:styleId="FootnoteText">
    <w:name w:val="footnote text"/>
    <w:basedOn w:val="Normal"/>
    <w:link w:val="FootnoteTextChar"/>
    <w:rsid w:val="00656D35"/>
    <w:rPr>
      <w:sz w:val="20"/>
      <w:szCs w:val="20"/>
    </w:rPr>
  </w:style>
  <w:style w:type="character" w:customStyle="1" w:styleId="FootnoteTextChar">
    <w:name w:val="Footnote Text Char"/>
    <w:basedOn w:val="DefaultParagraphFont"/>
    <w:link w:val="FootnoteText"/>
    <w:rsid w:val="00656D35"/>
  </w:style>
  <w:style w:type="character" w:styleId="FootnoteReference">
    <w:name w:val="footnote reference"/>
    <w:basedOn w:val="DefaultParagraphFont"/>
    <w:uiPriority w:val="99"/>
    <w:rsid w:val="00656D35"/>
    <w:rPr>
      <w:vertAlign w:val="superscript"/>
    </w:rPr>
  </w:style>
  <w:style w:type="paragraph" w:styleId="ListParagraph">
    <w:name w:val="List Paragraph"/>
    <w:basedOn w:val="Normal"/>
    <w:uiPriority w:val="34"/>
    <w:qFormat/>
    <w:rsid w:val="00CF1010"/>
    <w:pPr>
      <w:ind w:left="720"/>
      <w:contextualSpacing/>
    </w:pPr>
  </w:style>
  <w:style w:type="character" w:customStyle="1" w:styleId="FooterChar">
    <w:name w:val="Footer Char"/>
    <w:basedOn w:val="DefaultParagraphFont"/>
    <w:link w:val="Footer"/>
    <w:uiPriority w:val="99"/>
    <w:locked/>
    <w:rsid w:val="00A43A6E"/>
    <w:rPr>
      <w:sz w:val="24"/>
      <w:szCs w:val="24"/>
    </w:rPr>
  </w:style>
  <w:style w:type="character" w:styleId="FollowedHyperlink">
    <w:name w:val="FollowedHyperlink"/>
    <w:basedOn w:val="DefaultParagraphFont"/>
    <w:rsid w:val="007C0FA2"/>
    <w:rPr>
      <w:color w:val="800080" w:themeColor="followedHyperlink"/>
      <w:u w:val="single"/>
    </w:rPr>
  </w:style>
  <w:style w:type="paragraph" w:customStyle="1" w:styleId="Default">
    <w:name w:val="Default"/>
    <w:rsid w:val="00B774BB"/>
    <w:pPr>
      <w:autoSpaceDE w:val="0"/>
      <w:autoSpaceDN w:val="0"/>
      <w:adjustRightInd w:val="0"/>
    </w:pPr>
    <w:rPr>
      <w:color w:val="000000"/>
      <w:sz w:val="24"/>
      <w:szCs w:val="24"/>
    </w:rPr>
  </w:style>
  <w:style w:type="paragraph" w:styleId="NormalWeb">
    <w:name w:val="Normal (Web)"/>
    <w:basedOn w:val="Normal"/>
    <w:uiPriority w:val="99"/>
    <w:unhideWhenUsed/>
    <w:rsid w:val="0045547C"/>
    <w:pPr>
      <w:spacing w:before="100" w:beforeAutospacing="1" w:after="100" w:afterAutospacing="1"/>
    </w:pPr>
  </w:style>
  <w:style w:type="table" w:styleId="TableGrid">
    <w:name w:val="Table Grid"/>
    <w:basedOn w:val="TableNormal"/>
    <w:uiPriority w:val="59"/>
    <w:rsid w:val="00D414D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608012">
      <w:bodyDiv w:val="1"/>
      <w:marLeft w:val="0"/>
      <w:marRight w:val="0"/>
      <w:marTop w:val="0"/>
      <w:marBottom w:val="0"/>
      <w:divBdr>
        <w:top w:val="none" w:sz="0" w:space="0" w:color="auto"/>
        <w:left w:val="none" w:sz="0" w:space="0" w:color="auto"/>
        <w:bottom w:val="none" w:sz="0" w:space="0" w:color="auto"/>
        <w:right w:val="none" w:sz="0" w:space="0" w:color="auto"/>
      </w:divBdr>
      <w:divsChild>
        <w:div w:id="1033768861">
          <w:marLeft w:val="1526"/>
          <w:marRight w:val="0"/>
          <w:marTop w:val="134"/>
          <w:marBottom w:val="0"/>
          <w:divBdr>
            <w:top w:val="none" w:sz="0" w:space="0" w:color="auto"/>
            <w:left w:val="none" w:sz="0" w:space="0" w:color="auto"/>
            <w:bottom w:val="none" w:sz="0" w:space="0" w:color="auto"/>
            <w:right w:val="none" w:sz="0" w:space="0" w:color="auto"/>
          </w:divBdr>
        </w:div>
        <w:div w:id="2015330259">
          <w:marLeft w:val="1526"/>
          <w:marRight w:val="0"/>
          <w:marTop w:val="134"/>
          <w:marBottom w:val="0"/>
          <w:divBdr>
            <w:top w:val="none" w:sz="0" w:space="0" w:color="auto"/>
            <w:left w:val="none" w:sz="0" w:space="0" w:color="auto"/>
            <w:bottom w:val="none" w:sz="0" w:space="0" w:color="auto"/>
            <w:right w:val="none" w:sz="0" w:space="0" w:color="auto"/>
          </w:divBdr>
        </w:div>
        <w:div w:id="29112243">
          <w:marLeft w:val="1526"/>
          <w:marRight w:val="0"/>
          <w:marTop w:val="134"/>
          <w:marBottom w:val="0"/>
          <w:divBdr>
            <w:top w:val="none" w:sz="0" w:space="0" w:color="auto"/>
            <w:left w:val="none" w:sz="0" w:space="0" w:color="auto"/>
            <w:bottom w:val="none" w:sz="0" w:space="0" w:color="auto"/>
            <w:right w:val="none" w:sz="0" w:space="0" w:color="auto"/>
          </w:divBdr>
        </w:div>
      </w:divsChild>
    </w:div>
    <w:div w:id="1817605108">
      <w:bodyDiv w:val="1"/>
      <w:marLeft w:val="0"/>
      <w:marRight w:val="0"/>
      <w:marTop w:val="0"/>
      <w:marBottom w:val="0"/>
      <w:divBdr>
        <w:top w:val="none" w:sz="0" w:space="0" w:color="auto"/>
        <w:left w:val="none" w:sz="0" w:space="0" w:color="auto"/>
        <w:bottom w:val="none" w:sz="0" w:space="0" w:color="auto"/>
        <w:right w:val="none" w:sz="0" w:space="0" w:color="auto"/>
      </w:divBdr>
      <w:divsChild>
        <w:div w:id="60252343">
          <w:marLeft w:val="547"/>
          <w:marRight w:val="0"/>
          <w:marTop w:val="154"/>
          <w:marBottom w:val="0"/>
          <w:divBdr>
            <w:top w:val="none" w:sz="0" w:space="0" w:color="auto"/>
            <w:left w:val="none" w:sz="0" w:space="0" w:color="auto"/>
            <w:bottom w:val="none" w:sz="0" w:space="0" w:color="auto"/>
            <w:right w:val="none" w:sz="0" w:space="0" w:color="auto"/>
          </w:divBdr>
        </w:div>
      </w:divsChild>
    </w:div>
    <w:div w:id="2064018551">
      <w:bodyDiv w:val="1"/>
      <w:marLeft w:val="0"/>
      <w:marRight w:val="0"/>
      <w:marTop w:val="0"/>
      <w:marBottom w:val="0"/>
      <w:divBdr>
        <w:top w:val="none" w:sz="0" w:space="0" w:color="auto"/>
        <w:left w:val="none" w:sz="0" w:space="0" w:color="auto"/>
        <w:bottom w:val="none" w:sz="0" w:space="0" w:color="auto"/>
        <w:right w:val="none" w:sz="0" w:space="0" w:color="auto"/>
      </w:divBdr>
      <w:divsChild>
        <w:div w:id="1940067583">
          <w:marLeft w:val="0"/>
          <w:marRight w:val="0"/>
          <w:marTop w:val="0"/>
          <w:marBottom w:val="0"/>
          <w:divBdr>
            <w:top w:val="none" w:sz="0" w:space="0" w:color="auto"/>
            <w:left w:val="none" w:sz="0" w:space="0" w:color="auto"/>
            <w:bottom w:val="none" w:sz="0" w:space="0" w:color="auto"/>
            <w:right w:val="none" w:sz="0" w:space="0" w:color="auto"/>
          </w:divBdr>
          <w:divsChild>
            <w:div w:id="1779792744">
              <w:marLeft w:val="0"/>
              <w:marRight w:val="0"/>
              <w:marTop w:val="0"/>
              <w:marBottom w:val="0"/>
              <w:divBdr>
                <w:top w:val="none" w:sz="0" w:space="0" w:color="auto"/>
                <w:left w:val="none" w:sz="0" w:space="0" w:color="auto"/>
                <w:bottom w:val="none" w:sz="0" w:space="0" w:color="auto"/>
                <w:right w:val="none" w:sz="0" w:space="0" w:color="auto"/>
              </w:divBdr>
              <w:divsChild>
                <w:div w:id="1532184410">
                  <w:marLeft w:val="0"/>
                  <w:marRight w:val="0"/>
                  <w:marTop w:val="0"/>
                  <w:marBottom w:val="0"/>
                  <w:divBdr>
                    <w:top w:val="none" w:sz="0" w:space="0" w:color="auto"/>
                    <w:left w:val="none" w:sz="0" w:space="0" w:color="auto"/>
                    <w:bottom w:val="none" w:sz="0" w:space="0" w:color="auto"/>
                    <w:right w:val="none" w:sz="0" w:space="0" w:color="auto"/>
                  </w:divBdr>
                  <w:divsChild>
                    <w:div w:id="1172987179">
                      <w:marLeft w:val="0"/>
                      <w:marRight w:val="0"/>
                      <w:marTop w:val="0"/>
                      <w:marBottom w:val="0"/>
                      <w:divBdr>
                        <w:top w:val="none" w:sz="0" w:space="0" w:color="auto"/>
                        <w:left w:val="none" w:sz="0" w:space="0" w:color="auto"/>
                        <w:bottom w:val="none" w:sz="0" w:space="0" w:color="auto"/>
                        <w:right w:val="none" w:sz="0" w:space="0" w:color="auto"/>
                      </w:divBdr>
                      <w:divsChild>
                        <w:div w:id="1302032000">
                          <w:marLeft w:val="0"/>
                          <w:marRight w:val="0"/>
                          <w:marTop w:val="0"/>
                          <w:marBottom w:val="0"/>
                          <w:divBdr>
                            <w:top w:val="none" w:sz="0" w:space="0" w:color="auto"/>
                            <w:left w:val="none" w:sz="0" w:space="0" w:color="auto"/>
                            <w:bottom w:val="none" w:sz="0" w:space="0" w:color="auto"/>
                            <w:right w:val="none" w:sz="0" w:space="0" w:color="auto"/>
                          </w:divBdr>
                          <w:divsChild>
                            <w:div w:id="1253667476">
                              <w:marLeft w:val="0"/>
                              <w:marRight w:val="0"/>
                              <w:marTop w:val="0"/>
                              <w:marBottom w:val="0"/>
                              <w:divBdr>
                                <w:top w:val="none" w:sz="0" w:space="0" w:color="auto"/>
                                <w:left w:val="none" w:sz="0" w:space="0" w:color="auto"/>
                                <w:bottom w:val="none" w:sz="0" w:space="0" w:color="auto"/>
                                <w:right w:val="none" w:sz="0" w:space="0" w:color="auto"/>
                              </w:divBdr>
                              <w:divsChild>
                                <w:div w:id="97524389">
                                  <w:marLeft w:val="0"/>
                                  <w:marRight w:val="0"/>
                                  <w:marTop w:val="0"/>
                                  <w:marBottom w:val="0"/>
                                  <w:divBdr>
                                    <w:top w:val="none" w:sz="0" w:space="0" w:color="auto"/>
                                    <w:left w:val="none" w:sz="0" w:space="0" w:color="auto"/>
                                    <w:bottom w:val="none" w:sz="0" w:space="0" w:color="auto"/>
                                    <w:right w:val="none" w:sz="0" w:space="0" w:color="auto"/>
                                  </w:divBdr>
                                  <w:divsChild>
                                    <w:div w:id="675958523">
                                      <w:marLeft w:val="0"/>
                                      <w:marRight w:val="0"/>
                                      <w:marTop w:val="0"/>
                                      <w:marBottom w:val="0"/>
                                      <w:divBdr>
                                        <w:top w:val="none" w:sz="0" w:space="0" w:color="auto"/>
                                        <w:left w:val="none" w:sz="0" w:space="0" w:color="auto"/>
                                        <w:bottom w:val="none" w:sz="0" w:space="0" w:color="auto"/>
                                        <w:right w:val="none" w:sz="0" w:space="0" w:color="auto"/>
                                      </w:divBdr>
                                      <w:divsChild>
                                        <w:div w:id="379015625">
                                          <w:marLeft w:val="0"/>
                                          <w:marRight w:val="0"/>
                                          <w:marTop w:val="0"/>
                                          <w:marBottom w:val="0"/>
                                          <w:divBdr>
                                            <w:top w:val="none" w:sz="0" w:space="0" w:color="auto"/>
                                            <w:left w:val="none" w:sz="0" w:space="0" w:color="auto"/>
                                            <w:bottom w:val="none" w:sz="0" w:space="0" w:color="auto"/>
                                            <w:right w:val="none" w:sz="0" w:space="0" w:color="auto"/>
                                          </w:divBdr>
                                          <w:divsChild>
                                            <w:div w:id="552037881">
                                              <w:marLeft w:val="0"/>
                                              <w:marRight w:val="0"/>
                                              <w:marTop w:val="0"/>
                                              <w:marBottom w:val="0"/>
                                              <w:divBdr>
                                                <w:top w:val="none" w:sz="0" w:space="0" w:color="auto"/>
                                                <w:left w:val="none" w:sz="0" w:space="0" w:color="auto"/>
                                                <w:bottom w:val="none" w:sz="0" w:space="0" w:color="auto"/>
                                                <w:right w:val="none" w:sz="0" w:space="0" w:color="auto"/>
                                              </w:divBdr>
                                              <w:divsChild>
                                                <w:div w:id="318535219">
                                                  <w:marLeft w:val="0"/>
                                                  <w:marRight w:val="0"/>
                                                  <w:marTop w:val="0"/>
                                                  <w:marBottom w:val="0"/>
                                                  <w:divBdr>
                                                    <w:top w:val="none" w:sz="0" w:space="0" w:color="auto"/>
                                                    <w:left w:val="none" w:sz="0" w:space="0" w:color="auto"/>
                                                    <w:bottom w:val="none" w:sz="0" w:space="0" w:color="auto"/>
                                                    <w:right w:val="none" w:sz="0" w:space="0" w:color="auto"/>
                                                  </w:divBdr>
                                                  <w:divsChild>
                                                    <w:div w:id="1661618442">
                                                      <w:marLeft w:val="0"/>
                                                      <w:marRight w:val="0"/>
                                                      <w:marTop w:val="0"/>
                                                      <w:marBottom w:val="0"/>
                                                      <w:divBdr>
                                                        <w:top w:val="none" w:sz="0" w:space="0" w:color="auto"/>
                                                        <w:left w:val="none" w:sz="0" w:space="0" w:color="auto"/>
                                                        <w:bottom w:val="none" w:sz="0" w:space="0" w:color="auto"/>
                                                        <w:right w:val="none" w:sz="0" w:space="0" w:color="auto"/>
                                                      </w:divBdr>
                                                      <w:divsChild>
                                                        <w:div w:id="1154250466">
                                                          <w:marLeft w:val="0"/>
                                                          <w:marRight w:val="0"/>
                                                          <w:marTop w:val="0"/>
                                                          <w:marBottom w:val="0"/>
                                                          <w:divBdr>
                                                            <w:top w:val="none" w:sz="0" w:space="0" w:color="auto"/>
                                                            <w:left w:val="none" w:sz="0" w:space="0" w:color="auto"/>
                                                            <w:bottom w:val="none" w:sz="0" w:space="0" w:color="auto"/>
                                                            <w:right w:val="none" w:sz="0" w:space="0" w:color="auto"/>
                                                          </w:divBdr>
                                                          <w:divsChild>
                                                            <w:div w:id="2060661872">
                                                              <w:marLeft w:val="0"/>
                                                              <w:marRight w:val="0"/>
                                                              <w:marTop w:val="0"/>
                                                              <w:marBottom w:val="0"/>
                                                              <w:divBdr>
                                                                <w:top w:val="none" w:sz="0" w:space="0" w:color="auto"/>
                                                                <w:left w:val="none" w:sz="0" w:space="0" w:color="auto"/>
                                                                <w:bottom w:val="none" w:sz="0" w:space="0" w:color="auto"/>
                                                                <w:right w:val="none" w:sz="0" w:space="0" w:color="auto"/>
                                                              </w:divBdr>
                                                              <w:divsChild>
                                                                <w:div w:id="605776016">
                                                                  <w:marLeft w:val="0"/>
                                                                  <w:marRight w:val="0"/>
                                                                  <w:marTop w:val="0"/>
                                                                  <w:marBottom w:val="0"/>
                                                                  <w:divBdr>
                                                                    <w:top w:val="none" w:sz="0" w:space="0" w:color="auto"/>
                                                                    <w:left w:val="none" w:sz="0" w:space="0" w:color="auto"/>
                                                                    <w:bottom w:val="none" w:sz="0" w:space="0" w:color="auto"/>
                                                                    <w:right w:val="none" w:sz="0" w:space="0" w:color="auto"/>
                                                                  </w:divBdr>
                                                                  <w:divsChild>
                                                                    <w:div w:id="550655126">
                                                                      <w:marLeft w:val="0"/>
                                                                      <w:marRight w:val="0"/>
                                                                      <w:marTop w:val="0"/>
                                                                      <w:marBottom w:val="0"/>
                                                                      <w:divBdr>
                                                                        <w:top w:val="none" w:sz="0" w:space="0" w:color="auto"/>
                                                                        <w:left w:val="none" w:sz="0" w:space="0" w:color="auto"/>
                                                                        <w:bottom w:val="none" w:sz="0" w:space="0" w:color="auto"/>
                                                                        <w:right w:val="none" w:sz="0" w:space="0" w:color="auto"/>
                                                                      </w:divBdr>
                                                                      <w:divsChild>
                                                                        <w:div w:id="1775587304">
                                                                          <w:marLeft w:val="0"/>
                                                                          <w:marRight w:val="0"/>
                                                                          <w:marTop w:val="0"/>
                                                                          <w:marBottom w:val="0"/>
                                                                          <w:divBdr>
                                                                            <w:top w:val="none" w:sz="0" w:space="0" w:color="auto"/>
                                                                            <w:left w:val="none" w:sz="0" w:space="0" w:color="auto"/>
                                                                            <w:bottom w:val="none" w:sz="0" w:space="0" w:color="auto"/>
                                                                            <w:right w:val="none" w:sz="0" w:space="0" w:color="auto"/>
                                                                          </w:divBdr>
                                                                          <w:divsChild>
                                                                            <w:div w:id="1745175483">
                                                                              <w:marLeft w:val="0"/>
                                                                              <w:marRight w:val="0"/>
                                                                              <w:marTop w:val="0"/>
                                                                              <w:marBottom w:val="0"/>
                                                                              <w:divBdr>
                                                                                <w:top w:val="none" w:sz="0" w:space="0" w:color="auto"/>
                                                                                <w:left w:val="none" w:sz="0" w:space="0" w:color="auto"/>
                                                                                <w:bottom w:val="none" w:sz="0" w:space="0" w:color="auto"/>
                                                                                <w:right w:val="none" w:sz="0" w:space="0" w:color="auto"/>
                                                                              </w:divBdr>
                                                                              <w:divsChild>
                                                                                <w:div w:id="1046953611">
                                                                                  <w:marLeft w:val="0"/>
                                                                                  <w:marRight w:val="0"/>
                                                                                  <w:marTop w:val="0"/>
                                                                                  <w:marBottom w:val="0"/>
                                                                                  <w:divBdr>
                                                                                    <w:top w:val="none" w:sz="0" w:space="0" w:color="auto"/>
                                                                                    <w:left w:val="none" w:sz="0" w:space="0" w:color="auto"/>
                                                                                    <w:bottom w:val="none" w:sz="0" w:space="0" w:color="auto"/>
                                                                                    <w:right w:val="none" w:sz="0" w:space="0" w:color="auto"/>
                                                                                  </w:divBdr>
                                                                                  <w:divsChild>
                                                                                    <w:div w:id="520045501">
                                                                                      <w:marLeft w:val="0"/>
                                                                                      <w:marRight w:val="0"/>
                                                                                      <w:marTop w:val="0"/>
                                                                                      <w:marBottom w:val="0"/>
                                                                                      <w:divBdr>
                                                                                        <w:top w:val="single" w:sz="4" w:space="0" w:color="A7B3BD"/>
                                                                                        <w:left w:val="none" w:sz="0" w:space="0" w:color="auto"/>
                                                                                        <w:bottom w:val="none" w:sz="0" w:space="0" w:color="auto"/>
                                                                                        <w:right w:val="none" w:sz="0" w:space="0" w:color="auto"/>
                                                                                      </w:divBdr>
                                                                                      <w:divsChild>
                                                                                        <w:div w:id="4284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orld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worldb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orldb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mailto:vneag@worldban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5F3D-70DE-4FDD-9112-E3BF84EC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7027</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wb344418</cp:lastModifiedBy>
  <cp:revision>3</cp:revision>
  <cp:lastPrinted>2012-05-03T07:39:00Z</cp:lastPrinted>
  <dcterms:created xsi:type="dcterms:W3CDTF">2012-07-10T18:00:00Z</dcterms:created>
  <dcterms:modified xsi:type="dcterms:W3CDTF">2012-07-10T21:52:00Z</dcterms:modified>
</cp:coreProperties>
</file>