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43E" w:rsidRDefault="0044543E"/>
    <w:tbl>
      <w:tblPr>
        <w:tblW w:w="10607" w:type="dxa"/>
        <w:tblInd w:w="-140" w:type="dxa"/>
        <w:tblLayout w:type="fixed"/>
        <w:tblCellMar>
          <w:left w:w="40" w:type="dxa"/>
          <w:right w:w="40" w:type="dxa"/>
        </w:tblCellMar>
        <w:tblLook w:val="0000"/>
      </w:tblPr>
      <w:tblGrid>
        <w:gridCol w:w="5033"/>
        <w:gridCol w:w="5574"/>
      </w:tblGrid>
      <w:tr w:rsidR="00BC347A" w:rsidTr="00224EDB">
        <w:trPr>
          <w:trHeight w:val="1185"/>
        </w:trPr>
        <w:tc>
          <w:tcPr>
            <w:tcW w:w="5033" w:type="dxa"/>
            <w:tcBorders>
              <w:top w:val="nil"/>
              <w:left w:val="nil"/>
              <w:bottom w:val="nil"/>
              <w:right w:val="nil"/>
            </w:tcBorders>
          </w:tcPr>
          <w:p w:rsidR="00BC347A" w:rsidRDefault="0042421A" w:rsidP="008B5CD7">
            <w:pPr>
              <w:keepNext/>
              <w:autoSpaceDE w:val="0"/>
              <w:autoSpaceDN w:val="0"/>
              <w:adjustRightInd w:val="0"/>
              <w:spacing w:line="240" w:lineRule="atLeast"/>
              <w:ind w:left="108"/>
              <w:jc w:val="center"/>
              <w:rPr>
                <w:rFonts w:ascii="Tms Rmn" w:hAnsi="Tms Rmn"/>
              </w:rPr>
            </w:pPr>
            <w:r>
              <w:rPr>
                <w:rFonts w:ascii="Tms Rmn" w:hAnsi="Tms Rmn"/>
                <w:noProof/>
              </w:rPr>
              <w:drawing>
                <wp:inline distT="0" distB="0" distL="0" distR="0">
                  <wp:extent cx="2628900" cy="733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28900" cy="733425"/>
                          </a:xfrm>
                          <a:prstGeom prst="rect">
                            <a:avLst/>
                          </a:prstGeom>
                          <a:noFill/>
                          <a:ln w="9525">
                            <a:noFill/>
                            <a:miter lim="800000"/>
                            <a:headEnd/>
                            <a:tailEnd/>
                          </a:ln>
                        </pic:spPr>
                      </pic:pic>
                    </a:graphicData>
                  </a:graphic>
                </wp:inline>
              </w:drawing>
            </w:r>
          </w:p>
        </w:tc>
        <w:tc>
          <w:tcPr>
            <w:tcW w:w="5574" w:type="dxa"/>
            <w:tcBorders>
              <w:top w:val="nil"/>
              <w:left w:val="nil"/>
              <w:bottom w:val="nil"/>
              <w:right w:val="nil"/>
            </w:tcBorders>
          </w:tcPr>
          <w:p w:rsidR="00BC347A" w:rsidRDefault="00BC347A">
            <w:pPr>
              <w:autoSpaceDE w:val="0"/>
              <w:autoSpaceDN w:val="0"/>
              <w:adjustRightInd w:val="0"/>
              <w:spacing w:line="240" w:lineRule="atLeast"/>
              <w:ind w:left="108" w:right="108"/>
              <w:rPr>
                <w:rFonts w:ascii="Verdana" w:hAnsi="Verdana" w:cs="Verdana"/>
                <w:b/>
                <w:bCs/>
                <w:color w:val="000000"/>
                <w:sz w:val="32"/>
                <w:szCs w:val="32"/>
              </w:rPr>
            </w:pPr>
            <w:r>
              <w:rPr>
                <w:rFonts w:ascii="Verdana" w:hAnsi="Verdana" w:cs="Verdana"/>
                <w:b/>
                <w:bCs/>
                <w:color w:val="000000"/>
                <w:sz w:val="32"/>
                <w:szCs w:val="32"/>
              </w:rPr>
              <w:t xml:space="preserve">  </w:t>
            </w:r>
          </w:p>
          <w:p w:rsidR="00BC347A" w:rsidRDefault="00BC347A" w:rsidP="00224EDB">
            <w:pPr>
              <w:autoSpaceDE w:val="0"/>
              <w:autoSpaceDN w:val="0"/>
              <w:adjustRightInd w:val="0"/>
              <w:jc w:val="right"/>
              <w:rPr>
                <w:color w:val="000000"/>
              </w:rPr>
            </w:pPr>
            <w:r>
              <w:rPr>
                <w:rFonts w:ascii="Verdana" w:hAnsi="Verdana" w:cs="Verdana"/>
                <w:b/>
                <w:bCs/>
                <w:color w:val="000000"/>
                <w:sz w:val="32"/>
                <w:szCs w:val="32"/>
              </w:rPr>
              <w:t xml:space="preserve">               NEWS RELEASE</w:t>
            </w:r>
            <w:r>
              <w:rPr>
                <w:color w:val="000000"/>
              </w:rPr>
              <w:t xml:space="preserve">                                                           </w:t>
            </w:r>
          </w:p>
        </w:tc>
      </w:tr>
    </w:tbl>
    <w:p w:rsidR="0006653D" w:rsidRDefault="0006653D" w:rsidP="00E5593C">
      <w:pPr>
        <w:pStyle w:val="Heading7"/>
        <w:spacing w:before="240" w:beforeAutospacing="0" w:after="60" w:afterAutospacing="0"/>
        <w:rPr>
          <w:color w:val="000000"/>
          <w:sz w:val="22"/>
          <w:szCs w:val="22"/>
        </w:rPr>
      </w:pPr>
    </w:p>
    <w:tbl>
      <w:tblPr>
        <w:tblW w:w="0" w:type="auto"/>
        <w:tblBorders>
          <w:top w:val="single" w:sz="4" w:space="0" w:color="auto"/>
        </w:tblBorders>
        <w:tblLayout w:type="fixed"/>
        <w:tblLook w:val="0000"/>
      </w:tblPr>
      <w:tblGrid>
        <w:gridCol w:w="3456"/>
        <w:gridCol w:w="7362"/>
      </w:tblGrid>
      <w:tr w:rsidR="0006653D" w:rsidRPr="00135F61" w:rsidTr="00AF0FB9">
        <w:tc>
          <w:tcPr>
            <w:tcW w:w="3456" w:type="dxa"/>
          </w:tcPr>
          <w:p w:rsidR="00890B5D" w:rsidRDefault="00890B5D" w:rsidP="00890B5D">
            <w:pPr>
              <w:autoSpaceDE w:val="0"/>
              <w:autoSpaceDN w:val="0"/>
              <w:adjustRightInd w:val="0"/>
              <w:jc w:val="both"/>
              <w:rPr>
                <w:color w:val="000000"/>
                <w:sz w:val="20"/>
                <w:szCs w:val="20"/>
              </w:rPr>
            </w:pPr>
            <w:r>
              <w:rPr>
                <w:color w:val="000000"/>
                <w:sz w:val="20"/>
                <w:szCs w:val="20"/>
              </w:rPr>
              <w:t xml:space="preserve">News Release No. </w:t>
            </w:r>
          </w:p>
          <w:p w:rsidR="0006653D" w:rsidRPr="00135F61" w:rsidRDefault="00890B5D" w:rsidP="00890B5D">
            <w:pPr>
              <w:jc w:val="both"/>
              <w:rPr>
                <w:sz w:val="20"/>
                <w:szCs w:val="20"/>
              </w:rPr>
            </w:pPr>
            <w:r>
              <w:rPr>
                <w:color w:val="000000"/>
                <w:sz w:val="20"/>
                <w:szCs w:val="20"/>
              </w:rPr>
              <w:t>2012/446/PREM</w:t>
            </w:r>
          </w:p>
        </w:tc>
        <w:tc>
          <w:tcPr>
            <w:tcW w:w="7362" w:type="dxa"/>
          </w:tcPr>
          <w:p w:rsidR="00B648FF" w:rsidRPr="00135F61" w:rsidRDefault="0083709C" w:rsidP="00E5593C">
            <w:pPr>
              <w:pStyle w:val="Heading7"/>
              <w:spacing w:before="0" w:beforeAutospacing="0" w:after="0" w:afterAutospacing="0"/>
              <w:ind w:left="1152" w:right="-72" w:hanging="5760"/>
              <w:jc w:val="right"/>
              <w:rPr>
                <w:b/>
                <w:bCs/>
                <w:color w:val="000000"/>
                <w:sz w:val="20"/>
                <w:szCs w:val="20"/>
              </w:rPr>
            </w:pPr>
            <w:r w:rsidRPr="00135F61">
              <w:rPr>
                <w:b/>
                <w:bCs/>
                <w:color w:val="000000"/>
                <w:sz w:val="20"/>
                <w:szCs w:val="20"/>
              </w:rPr>
              <w:t>Contacts:</w:t>
            </w:r>
          </w:p>
          <w:p w:rsidR="00401CFF" w:rsidRPr="00135F61" w:rsidRDefault="00401CFF" w:rsidP="00401CFF">
            <w:pPr>
              <w:pStyle w:val="Heading7"/>
              <w:spacing w:before="0" w:beforeAutospacing="0" w:after="0" w:afterAutospacing="0"/>
              <w:ind w:left="1152" w:right="-72" w:hanging="5760"/>
              <w:jc w:val="right"/>
              <w:rPr>
                <w:color w:val="000000"/>
                <w:sz w:val="20"/>
                <w:szCs w:val="20"/>
              </w:rPr>
            </w:pPr>
            <w:r w:rsidRPr="00135F61">
              <w:rPr>
                <w:i/>
                <w:color w:val="000000"/>
                <w:sz w:val="20"/>
                <w:szCs w:val="20"/>
              </w:rPr>
              <w:t xml:space="preserve">In Washington: Alejandra </w:t>
            </w:r>
            <w:proofErr w:type="spellStart"/>
            <w:r w:rsidRPr="00135F61">
              <w:rPr>
                <w:i/>
                <w:color w:val="000000"/>
                <w:sz w:val="20"/>
                <w:szCs w:val="20"/>
              </w:rPr>
              <w:t>Viveros</w:t>
            </w:r>
            <w:proofErr w:type="spellEnd"/>
            <w:r w:rsidRPr="00135F61">
              <w:rPr>
                <w:i/>
                <w:color w:val="000000"/>
                <w:sz w:val="20"/>
                <w:szCs w:val="20"/>
              </w:rPr>
              <w:t xml:space="preserve"> + 1 (202) 473-4306</w:t>
            </w:r>
          </w:p>
          <w:p w:rsidR="00401CFF" w:rsidRPr="00135F61" w:rsidRDefault="004E29F3" w:rsidP="00401CFF">
            <w:pPr>
              <w:pStyle w:val="Heading7"/>
              <w:spacing w:before="0" w:beforeAutospacing="0" w:after="0" w:afterAutospacing="0"/>
              <w:ind w:left="1152" w:right="-72" w:hanging="5760"/>
              <w:jc w:val="right"/>
              <w:rPr>
                <w:bCs/>
                <w:color w:val="000000"/>
                <w:sz w:val="20"/>
                <w:szCs w:val="20"/>
              </w:rPr>
            </w:pPr>
            <w:hyperlink r:id="rId9" w:history="1">
              <w:r w:rsidR="0083709C" w:rsidRPr="00135F61">
                <w:rPr>
                  <w:rStyle w:val="Hyperlink"/>
                  <w:sz w:val="20"/>
                  <w:szCs w:val="20"/>
                </w:rPr>
                <w:t>Aviveros@worldbank.org</w:t>
              </w:r>
            </w:hyperlink>
          </w:p>
          <w:p w:rsidR="000577EA" w:rsidRPr="00EC2FBC" w:rsidRDefault="00360098" w:rsidP="008665D7">
            <w:pPr>
              <w:pStyle w:val="Heading7"/>
              <w:spacing w:before="0" w:beforeAutospacing="0" w:after="0" w:afterAutospacing="0"/>
              <w:ind w:left="1152" w:right="-72" w:hanging="5760"/>
              <w:jc w:val="right"/>
              <w:rPr>
                <w:i/>
                <w:color w:val="000000"/>
                <w:sz w:val="20"/>
                <w:szCs w:val="20"/>
              </w:rPr>
            </w:pPr>
            <w:r w:rsidRPr="00EC2FBC">
              <w:rPr>
                <w:i/>
                <w:color w:val="000000"/>
                <w:sz w:val="20"/>
                <w:szCs w:val="20"/>
              </w:rPr>
              <w:t xml:space="preserve">Michael </w:t>
            </w:r>
            <w:proofErr w:type="spellStart"/>
            <w:r w:rsidRPr="00EC2FBC">
              <w:rPr>
                <w:i/>
                <w:color w:val="000000"/>
                <w:sz w:val="20"/>
                <w:szCs w:val="20"/>
              </w:rPr>
              <w:t>Jelenic</w:t>
            </w:r>
            <w:proofErr w:type="spellEnd"/>
            <w:r w:rsidRPr="00EC2FBC">
              <w:rPr>
                <w:i/>
                <w:color w:val="000000"/>
                <w:sz w:val="20"/>
                <w:szCs w:val="20"/>
              </w:rPr>
              <w:t xml:space="preserve"> </w:t>
            </w:r>
            <w:r w:rsidR="008665D7" w:rsidRPr="00EC2FBC">
              <w:rPr>
                <w:i/>
                <w:color w:val="000000"/>
                <w:sz w:val="20"/>
                <w:szCs w:val="20"/>
              </w:rPr>
              <w:t>+1 (202) 473-2075</w:t>
            </w:r>
          </w:p>
          <w:p w:rsidR="00844916" w:rsidRDefault="004E29F3" w:rsidP="008665D7">
            <w:pPr>
              <w:pStyle w:val="Heading7"/>
              <w:spacing w:before="0" w:beforeAutospacing="0" w:after="0" w:afterAutospacing="0"/>
              <w:ind w:left="1152" w:right="-72" w:hanging="5760"/>
              <w:jc w:val="right"/>
            </w:pPr>
            <w:hyperlink r:id="rId10" w:history="1">
              <w:r w:rsidR="000915D9" w:rsidRPr="00135F61">
                <w:rPr>
                  <w:rStyle w:val="Hyperlink"/>
                  <w:sz w:val="20"/>
                  <w:szCs w:val="20"/>
                </w:rPr>
                <w:t>Mjelenic@worldbank.org</w:t>
              </w:r>
            </w:hyperlink>
          </w:p>
          <w:p w:rsidR="00EC2FBC" w:rsidRDefault="00844916" w:rsidP="00EC2FBC">
            <w:pPr>
              <w:pStyle w:val="Heading7"/>
              <w:spacing w:before="0" w:beforeAutospacing="0" w:after="0" w:afterAutospacing="0"/>
              <w:ind w:left="1152" w:right="-72" w:hanging="5760"/>
              <w:jc w:val="right"/>
              <w:rPr>
                <w:i/>
                <w:color w:val="000000" w:themeColor="text1"/>
                <w:sz w:val="20"/>
                <w:szCs w:val="20"/>
              </w:rPr>
            </w:pPr>
            <w:r>
              <w:rPr>
                <w:bCs/>
                <w:i/>
                <w:color w:val="2F2F2F"/>
                <w:sz w:val="20"/>
                <w:szCs w:val="20"/>
              </w:rPr>
              <w:t xml:space="preserve">      </w:t>
            </w:r>
            <w:proofErr w:type="spellStart"/>
            <w:r w:rsidRPr="00EC2FBC">
              <w:rPr>
                <w:bCs/>
                <w:i/>
                <w:color w:val="000000" w:themeColor="text1"/>
                <w:sz w:val="20"/>
                <w:szCs w:val="20"/>
              </w:rPr>
              <w:t>Mehreen</w:t>
            </w:r>
            <w:proofErr w:type="spellEnd"/>
            <w:r w:rsidRPr="00EC2FBC">
              <w:rPr>
                <w:bCs/>
                <w:i/>
                <w:color w:val="000000" w:themeColor="text1"/>
                <w:sz w:val="20"/>
                <w:szCs w:val="20"/>
              </w:rPr>
              <w:t xml:space="preserve"> A. Sheikh + </w:t>
            </w:r>
            <w:r w:rsidR="00EC2FBC">
              <w:rPr>
                <w:i/>
                <w:color w:val="000000" w:themeColor="text1"/>
                <w:sz w:val="20"/>
                <w:szCs w:val="20"/>
              </w:rPr>
              <w:t>(202) 413-920</w:t>
            </w:r>
            <w:r w:rsidRPr="00EC2FBC">
              <w:rPr>
                <w:i/>
                <w:color w:val="000000" w:themeColor="text1"/>
                <w:sz w:val="20"/>
                <w:szCs w:val="20"/>
              </w:rPr>
              <w:t>4</w:t>
            </w:r>
          </w:p>
          <w:p w:rsidR="00B648FF" w:rsidRPr="00EC2FBC" w:rsidRDefault="004E29F3" w:rsidP="00BB7BD3">
            <w:pPr>
              <w:pStyle w:val="Heading7"/>
              <w:spacing w:before="0" w:beforeAutospacing="0" w:after="0" w:afterAutospacing="0"/>
              <w:ind w:left="1152" w:right="-72" w:hanging="5760"/>
              <w:jc w:val="right"/>
              <w:rPr>
                <w:i/>
                <w:color w:val="000000" w:themeColor="text1"/>
                <w:sz w:val="20"/>
                <w:szCs w:val="20"/>
              </w:rPr>
            </w:pPr>
            <w:hyperlink r:id="rId11" w:history="1">
              <w:r w:rsidR="00EC2FBC" w:rsidRPr="009170D3">
                <w:rPr>
                  <w:rStyle w:val="Hyperlink"/>
                  <w:i/>
                  <w:sz w:val="20"/>
                  <w:szCs w:val="20"/>
                </w:rPr>
                <w:t>Msheikh1@worldbank.org</w:t>
              </w:r>
            </w:hyperlink>
            <w:r w:rsidR="00EC2FBC">
              <w:rPr>
                <w:i/>
                <w:color w:val="000000" w:themeColor="text1"/>
                <w:sz w:val="20"/>
                <w:szCs w:val="20"/>
              </w:rPr>
              <w:t xml:space="preserve"> </w:t>
            </w:r>
            <w:r w:rsidR="0006653D" w:rsidRPr="00EC2FBC">
              <w:rPr>
                <w:i/>
                <w:color w:val="000000" w:themeColor="text1"/>
                <w:sz w:val="20"/>
                <w:szCs w:val="20"/>
              </w:rPr>
              <w:br/>
            </w:r>
          </w:p>
        </w:tc>
      </w:tr>
    </w:tbl>
    <w:p w:rsidR="0000598B" w:rsidRPr="00135F61" w:rsidRDefault="0000598B" w:rsidP="0000598B">
      <w:pPr>
        <w:jc w:val="center"/>
        <w:rPr>
          <w:b/>
          <w:sz w:val="22"/>
          <w:szCs w:val="22"/>
        </w:rPr>
      </w:pPr>
      <w:r w:rsidRPr="00135F61">
        <w:rPr>
          <w:b/>
          <w:sz w:val="22"/>
          <w:szCs w:val="22"/>
        </w:rPr>
        <w:t xml:space="preserve">Global Trade Logistics </w:t>
      </w:r>
      <w:r w:rsidR="005B67BA" w:rsidRPr="00135F61">
        <w:rPr>
          <w:b/>
          <w:sz w:val="22"/>
          <w:szCs w:val="22"/>
        </w:rPr>
        <w:t xml:space="preserve">Performance </w:t>
      </w:r>
      <w:r w:rsidRPr="00135F61">
        <w:rPr>
          <w:b/>
          <w:sz w:val="22"/>
          <w:szCs w:val="22"/>
        </w:rPr>
        <w:t xml:space="preserve">Slows Down Amid Recession and Major Events </w:t>
      </w:r>
    </w:p>
    <w:p w:rsidR="0000598B" w:rsidRPr="00135F61" w:rsidRDefault="0000598B" w:rsidP="0000598B">
      <w:pPr>
        <w:jc w:val="center"/>
        <w:rPr>
          <w:b/>
          <w:i/>
          <w:sz w:val="22"/>
          <w:szCs w:val="22"/>
        </w:rPr>
      </w:pPr>
      <w:r w:rsidRPr="00135F61">
        <w:rPr>
          <w:b/>
          <w:i/>
          <w:sz w:val="22"/>
          <w:szCs w:val="22"/>
        </w:rPr>
        <w:t xml:space="preserve">But many countries like Chile, China, India, </w:t>
      </w:r>
      <w:r w:rsidR="00C0350B" w:rsidRPr="00135F61">
        <w:rPr>
          <w:b/>
          <w:i/>
          <w:sz w:val="22"/>
          <w:szCs w:val="22"/>
        </w:rPr>
        <w:t xml:space="preserve">Morocco, </w:t>
      </w:r>
      <w:r w:rsidRPr="00135F61">
        <w:rPr>
          <w:b/>
          <w:i/>
          <w:sz w:val="22"/>
          <w:szCs w:val="22"/>
        </w:rPr>
        <w:t>South Africa, and the U.S. continued to improve</w:t>
      </w:r>
    </w:p>
    <w:p w:rsidR="0000598B" w:rsidRPr="00135F61" w:rsidRDefault="0000598B" w:rsidP="0000598B">
      <w:pPr>
        <w:jc w:val="both"/>
        <w:rPr>
          <w:b/>
          <w:sz w:val="22"/>
          <w:szCs w:val="22"/>
        </w:rPr>
      </w:pPr>
    </w:p>
    <w:p w:rsidR="0000598B" w:rsidRPr="00135F61" w:rsidRDefault="0000598B" w:rsidP="0000598B">
      <w:pPr>
        <w:jc w:val="both"/>
        <w:rPr>
          <w:sz w:val="22"/>
          <w:szCs w:val="22"/>
        </w:rPr>
      </w:pPr>
      <w:r w:rsidRPr="00135F61">
        <w:rPr>
          <w:b/>
          <w:sz w:val="22"/>
          <w:szCs w:val="22"/>
        </w:rPr>
        <w:t>WASHINGTON, May 16, 2012—</w:t>
      </w:r>
      <w:r w:rsidRPr="00135F61">
        <w:rPr>
          <w:sz w:val="22"/>
          <w:szCs w:val="22"/>
        </w:rPr>
        <w:t>Progress in trade logistics performance slowed down over the last two years amid the global recession, but countries that pursued aggressive reforms continued to improve their performance, according to the World Bank’s latest survey on trade logistics.</w:t>
      </w:r>
    </w:p>
    <w:p w:rsidR="0000598B" w:rsidRPr="00135F61" w:rsidRDefault="0000598B" w:rsidP="0000598B">
      <w:pPr>
        <w:jc w:val="both"/>
        <w:rPr>
          <w:sz w:val="22"/>
          <w:szCs w:val="22"/>
        </w:rPr>
      </w:pPr>
    </w:p>
    <w:p w:rsidR="0000598B" w:rsidRPr="00135F61" w:rsidRDefault="0000598B" w:rsidP="0000598B">
      <w:pPr>
        <w:jc w:val="both"/>
        <w:rPr>
          <w:sz w:val="22"/>
          <w:szCs w:val="22"/>
        </w:rPr>
      </w:pPr>
      <w:r w:rsidRPr="00135F61">
        <w:rPr>
          <w:sz w:val="22"/>
          <w:szCs w:val="22"/>
        </w:rPr>
        <w:t>Singapore is the top performer among the 155 economies in</w:t>
      </w:r>
      <w:r w:rsidR="00C0350B" w:rsidRPr="00135F61">
        <w:rPr>
          <w:sz w:val="22"/>
          <w:szCs w:val="22"/>
        </w:rPr>
        <w:t>cluded in</w:t>
      </w:r>
      <w:r w:rsidRPr="00135F61">
        <w:rPr>
          <w:sz w:val="22"/>
          <w:szCs w:val="22"/>
        </w:rPr>
        <w:t xml:space="preserve"> the Logistics Performance Indicators (LPI), which </w:t>
      </w:r>
      <w:r w:rsidR="00C0350B" w:rsidRPr="00135F61">
        <w:rPr>
          <w:sz w:val="22"/>
          <w:szCs w:val="22"/>
        </w:rPr>
        <w:t xml:space="preserve">are part of </w:t>
      </w:r>
      <w:r w:rsidRPr="00135F61">
        <w:rPr>
          <w:sz w:val="22"/>
          <w:szCs w:val="22"/>
        </w:rPr>
        <w:t xml:space="preserve">the </w:t>
      </w:r>
      <w:r w:rsidRPr="00135F61">
        <w:rPr>
          <w:b/>
          <w:i/>
          <w:sz w:val="22"/>
          <w:szCs w:val="22"/>
        </w:rPr>
        <w:t xml:space="preserve">Connecting to Compete 2012: Trade Logistics in the Global Economy </w:t>
      </w:r>
      <w:r w:rsidRPr="00135F61">
        <w:rPr>
          <w:sz w:val="22"/>
          <w:szCs w:val="22"/>
        </w:rPr>
        <w:t xml:space="preserve">report. Countries like Chile, China, India, Morocco, South Africa, Turkey, and the U.S. all improved their previous </w:t>
      </w:r>
      <w:r w:rsidR="00514209" w:rsidRPr="00135F61">
        <w:rPr>
          <w:sz w:val="22"/>
          <w:szCs w:val="22"/>
        </w:rPr>
        <w:t>performance</w:t>
      </w:r>
      <w:r w:rsidRPr="00135F61">
        <w:rPr>
          <w:sz w:val="22"/>
          <w:szCs w:val="22"/>
        </w:rPr>
        <w:t xml:space="preserve">, according to the study, which is based on </w:t>
      </w:r>
      <w:r w:rsidR="00514209" w:rsidRPr="00135F61">
        <w:rPr>
          <w:sz w:val="22"/>
          <w:szCs w:val="22"/>
        </w:rPr>
        <w:t>a</w:t>
      </w:r>
      <w:r w:rsidRPr="00135F61">
        <w:rPr>
          <w:sz w:val="22"/>
          <w:szCs w:val="22"/>
        </w:rPr>
        <w:t xml:space="preserve"> comprehensive world survey of international freight forwarders and express carriers. </w:t>
      </w:r>
    </w:p>
    <w:p w:rsidR="0000598B" w:rsidRPr="00135F61" w:rsidRDefault="0000598B" w:rsidP="0000598B">
      <w:pPr>
        <w:jc w:val="both"/>
        <w:rPr>
          <w:sz w:val="22"/>
          <w:szCs w:val="22"/>
        </w:rPr>
      </w:pPr>
    </w:p>
    <w:p w:rsidR="0000598B" w:rsidRPr="00135F61" w:rsidRDefault="0000598B" w:rsidP="0000598B">
      <w:pPr>
        <w:jc w:val="both"/>
        <w:rPr>
          <w:sz w:val="22"/>
          <w:szCs w:val="22"/>
        </w:rPr>
      </w:pPr>
      <w:r w:rsidRPr="00135F61">
        <w:rPr>
          <w:sz w:val="22"/>
          <w:szCs w:val="22"/>
        </w:rPr>
        <w:t xml:space="preserve">“Trade logistics is </w:t>
      </w:r>
      <w:proofErr w:type="gramStart"/>
      <w:r w:rsidRPr="00135F61">
        <w:rPr>
          <w:sz w:val="22"/>
          <w:szCs w:val="22"/>
        </w:rPr>
        <w:t>key</w:t>
      </w:r>
      <w:proofErr w:type="gramEnd"/>
      <w:r w:rsidRPr="00135F61">
        <w:rPr>
          <w:sz w:val="22"/>
          <w:szCs w:val="22"/>
        </w:rPr>
        <w:t xml:space="preserve"> to economic competitiveness, growth, and poverty reduction,” said </w:t>
      </w:r>
      <w:proofErr w:type="spellStart"/>
      <w:r w:rsidRPr="00135F61">
        <w:rPr>
          <w:sz w:val="22"/>
          <w:szCs w:val="22"/>
        </w:rPr>
        <w:t>Otaviano</w:t>
      </w:r>
      <w:proofErr w:type="spellEnd"/>
      <w:r w:rsidRPr="00135F61">
        <w:rPr>
          <w:sz w:val="22"/>
          <w:szCs w:val="22"/>
        </w:rPr>
        <w:t xml:space="preserve"> </w:t>
      </w:r>
      <w:proofErr w:type="spellStart"/>
      <w:r w:rsidRPr="00135F61">
        <w:rPr>
          <w:sz w:val="22"/>
          <w:szCs w:val="22"/>
        </w:rPr>
        <w:t>Canuto</w:t>
      </w:r>
      <w:proofErr w:type="spellEnd"/>
      <w:r w:rsidRPr="00135F61">
        <w:rPr>
          <w:sz w:val="22"/>
          <w:szCs w:val="22"/>
        </w:rPr>
        <w:t xml:space="preserve">, World Bank Vice President for Poverty Reduction and Economic Management (PREM). “Unfortunately, the logistics gap between rich and poor countries continues and the convergence trend experienced between 2007 and 2010 has stalled as events like the global recession, and the European debt crisis shifted attention away from logistics reform.” </w:t>
      </w:r>
    </w:p>
    <w:p w:rsidR="0000598B" w:rsidRPr="00135F61" w:rsidRDefault="0000598B" w:rsidP="0000598B">
      <w:pPr>
        <w:jc w:val="both"/>
        <w:rPr>
          <w:sz w:val="22"/>
          <w:szCs w:val="22"/>
        </w:rPr>
      </w:pPr>
    </w:p>
    <w:p w:rsidR="0000598B" w:rsidRPr="00135F61" w:rsidRDefault="0000598B" w:rsidP="0000598B">
      <w:pPr>
        <w:jc w:val="both"/>
        <w:rPr>
          <w:sz w:val="22"/>
          <w:szCs w:val="22"/>
        </w:rPr>
      </w:pPr>
      <w:r w:rsidRPr="00135F61">
        <w:rPr>
          <w:sz w:val="22"/>
          <w:szCs w:val="22"/>
        </w:rPr>
        <w:t>According to the LPI, high income economies dominate the top logistics rankings, while the economies with the worst performance are least developed countries that ar</w:t>
      </w:r>
      <w:r w:rsidR="005B67BA" w:rsidRPr="00135F61">
        <w:rPr>
          <w:sz w:val="22"/>
          <w:szCs w:val="22"/>
        </w:rPr>
        <w:t>e also</w:t>
      </w:r>
      <w:r w:rsidR="00514209" w:rsidRPr="00135F61">
        <w:rPr>
          <w:sz w:val="22"/>
          <w:szCs w:val="22"/>
        </w:rPr>
        <w:t xml:space="preserve"> often </w:t>
      </w:r>
      <w:r w:rsidR="005B67BA" w:rsidRPr="00135F61">
        <w:rPr>
          <w:sz w:val="22"/>
          <w:szCs w:val="22"/>
        </w:rPr>
        <w:t xml:space="preserve">landlocked, small </w:t>
      </w:r>
      <w:r w:rsidRPr="00135F61">
        <w:rPr>
          <w:sz w:val="22"/>
          <w:szCs w:val="22"/>
        </w:rPr>
        <w:t>island</w:t>
      </w:r>
      <w:r w:rsidR="005B67BA" w:rsidRPr="00135F61">
        <w:rPr>
          <w:sz w:val="22"/>
          <w:szCs w:val="22"/>
        </w:rPr>
        <w:t>s</w:t>
      </w:r>
      <w:r w:rsidRPr="00135F61">
        <w:rPr>
          <w:sz w:val="22"/>
          <w:szCs w:val="22"/>
        </w:rPr>
        <w:t xml:space="preserve">, or post-conflict states. Nevertheless, logistics performance </w:t>
      </w:r>
      <w:r w:rsidR="00514209" w:rsidRPr="00135F61">
        <w:rPr>
          <w:sz w:val="22"/>
          <w:szCs w:val="22"/>
        </w:rPr>
        <w:t xml:space="preserve">is not simply determined by </w:t>
      </w:r>
      <w:r w:rsidRPr="00135F61">
        <w:rPr>
          <w:sz w:val="22"/>
          <w:szCs w:val="22"/>
        </w:rPr>
        <w:t xml:space="preserve">the level of per capita income, as many countries across different income groups have done better than their peers. </w:t>
      </w:r>
    </w:p>
    <w:p w:rsidR="005B67BA" w:rsidRPr="00135F61" w:rsidRDefault="005B67BA" w:rsidP="0000598B">
      <w:pPr>
        <w:jc w:val="both"/>
        <w:rPr>
          <w:sz w:val="22"/>
          <w:szCs w:val="22"/>
        </w:rPr>
      </w:pPr>
    </w:p>
    <w:p w:rsidR="0000598B" w:rsidRPr="00135F61" w:rsidRDefault="0000598B" w:rsidP="0000598B">
      <w:pPr>
        <w:jc w:val="both"/>
        <w:rPr>
          <w:sz w:val="22"/>
          <w:szCs w:val="22"/>
        </w:rPr>
      </w:pPr>
      <w:r w:rsidRPr="00135F61">
        <w:rPr>
          <w:sz w:val="22"/>
          <w:szCs w:val="22"/>
        </w:rPr>
        <w:t>In the u</w:t>
      </w:r>
      <w:r w:rsidR="005B67BA" w:rsidRPr="00135F61">
        <w:rPr>
          <w:sz w:val="22"/>
          <w:szCs w:val="22"/>
        </w:rPr>
        <w:t>pper-</w:t>
      </w:r>
      <w:r w:rsidRPr="00135F61">
        <w:rPr>
          <w:sz w:val="22"/>
          <w:szCs w:val="22"/>
        </w:rPr>
        <w:t>middle income country category, top performers include South Africa, China and Turkey. In the lower middle income category, India, Morocco and the Philippines</w:t>
      </w:r>
      <w:r w:rsidR="005B67BA" w:rsidRPr="00135F61">
        <w:rPr>
          <w:sz w:val="22"/>
          <w:szCs w:val="22"/>
        </w:rPr>
        <w:t xml:space="preserve"> </w:t>
      </w:r>
      <w:r w:rsidR="00514209" w:rsidRPr="00135F61">
        <w:rPr>
          <w:sz w:val="22"/>
          <w:szCs w:val="22"/>
        </w:rPr>
        <w:t>have above average performance improvements</w:t>
      </w:r>
      <w:r w:rsidRPr="00135F61">
        <w:rPr>
          <w:sz w:val="22"/>
          <w:szCs w:val="22"/>
        </w:rPr>
        <w:t xml:space="preserve">. And </w:t>
      </w:r>
      <w:r w:rsidR="005B67BA" w:rsidRPr="00135F61">
        <w:rPr>
          <w:sz w:val="22"/>
          <w:szCs w:val="22"/>
        </w:rPr>
        <w:t>among</w:t>
      </w:r>
      <w:r w:rsidRPr="00135F61">
        <w:rPr>
          <w:sz w:val="22"/>
          <w:szCs w:val="22"/>
        </w:rPr>
        <w:t xml:space="preserve"> </w:t>
      </w:r>
      <w:r w:rsidR="005B67BA" w:rsidRPr="00135F61">
        <w:rPr>
          <w:sz w:val="22"/>
          <w:szCs w:val="22"/>
        </w:rPr>
        <w:t>low-</w:t>
      </w:r>
      <w:r w:rsidRPr="00135F61">
        <w:rPr>
          <w:sz w:val="22"/>
          <w:szCs w:val="22"/>
        </w:rPr>
        <w:t>income c</w:t>
      </w:r>
      <w:r w:rsidR="005B67BA" w:rsidRPr="00135F61">
        <w:rPr>
          <w:sz w:val="22"/>
          <w:szCs w:val="22"/>
        </w:rPr>
        <w:t xml:space="preserve">ountries, </w:t>
      </w:r>
      <w:r w:rsidRPr="00135F61">
        <w:rPr>
          <w:sz w:val="22"/>
          <w:szCs w:val="22"/>
        </w:rPr>
        <w:t>outperformers included Benin, Malawi and Madagascar.</w:t>
      </w:r>
    </w:p>
    <w:p w:rsidR="0000598B" w:rsidRPr="00135F61" w:rsidRDefault="0000598B" w:rsidP="0000598B">
      <w:pPr>
        <w:jc w:val="both"/>
        <w:rPr>
          <w:sz w:val="22"/>
          <w:szCs w:val="22"/>
        </w:rPr>
      </w:pPr>
    </w:p>
    <w:p w:rsidR="0000598B" w:rsidRPr="00135F61" w:rsidRDefault="0000598B" w:rsidP="0000598B">
      <w:pPr>
        <w:jc w:val="both"/>
        <w:rPr>
          <w:rFonts w:eastAsiaTheme="minorHAnsi"/>
          <w:color w:val="000000"/>
          <w:sz w:val="22"/>
          <w:szCs w:val="22"/>
        </w:rPr>
      </w:pPr>
      <w:r w:rsidRPr="00135F61">
        <w:rPr>
          <w:sz w:val="22"/>
          <w:szCs w:val="22"/>
        </w:rPr>
        <w:t xml:space="preserve">“Infrastructure stands out as the chief driver of progress in top performers, followed by improvements in logistics services, and customs and border management,” said </w:t>
      </w:r>
      <w:r w:rsidR="00514209" w:rsidRPr="00135F61">
        <w:rPr>
          <w:sz w:val="22"/>
          <w:szCs w:val="22"/>
        </w:rPr>
        <w:t>Mona Haddad</w:t>
      </w:r>
      <w:r w:rsidR="009D1EF6" w:rsidRPr="00135F61">
        <w:rPr>
          <w:sz w:val="22"/>
          <w:szCs w:val="22"/>
        </w:rPr>
        <w:t xml:space="preserve">, </w:t>
      </w:r>
      <w:r w:rsidR="003C5BCF" w:rsidRPr="00135F61">
        <w:rPr>
          <w:sz w:val="22"/>
          <w:szCs w:val="22"/>
        </w:rPr>
        <w:t xml:space="preserve">Sector Manager of the </w:t>
      </w:r>
      <w:r w:rsidR="00B4786E" w:rsidRPr="00135F61">
        <w:rPr>
          <w:sz w:val="22"/>
          <w:szCs w:val="22"/>
        </w:rPr>
        <w:t xml:space="preserve">World Bank’s </w:t>
      </w:r>
      <w:r w:rsidRPr="00135F61">
        <w:rPr>
          <w:sz w:val="22"/>
          <w:szCs w:val="22"/>
        </w:rPr>
        <w:t xml:space="preserve">International </w:t>
      </w:r>
      <w:r w:rsidR="009D1EF6" w:rsidRPr="00135F61">
        <w:rPr>
          <w:sz w:val="22"/>
          <w:szCs w:val="22"/>
        </w:rPr>
        <w:t>Trade D</w:t>
      </w:r>
      <w:r w:rsidR="003C5BCF" w:rsidRPr="00135F61">
        <w:rPr>
          <w:sz w:val="22"/>
          <w:szCs w:val="22"/>
        </w:rPr>
        <w:t>epartment</w:t>
      </w:r>
      <w:r w:rsidR="009D1EF6" w:rsidRPr="00135F61">
        <w:rPr>
          <w:sz w:val="22"/>
          <w:szCs w:val="22"/>
        </w:rPr>
        <w:t xml:space="preserve">. </w:t>
      </w:r>
      <w:r w:rsidRPr="00135F61">
        <w:rPr>
          <w:sz w:val="22"/>
          <w:szCs w:val="22"/>
        </w:rPr>
        <w:t xml:space="preserve">“All top performers show strong </w:t>
      </w:r>
      <w:r w:rsidRPr="00135F61">
        <w:rPr>
          <w:rFonts w:eastAsiaTheme="minorHAnsi"/>
          <w:color w:val="000000"/>
          <w:sz w:val="22"/>
          <w:szCs w:val="22"/>
        </w:rPr>
        <w:t>cooperation between the public and private sectors, and a comprehensive approach in the development of services, infrastructure and efficient logistics.”</w:t>
      </w:r>
    </w:p>
    <w:p w:rsidR="009D1EF6" w:rsidRPr="00135F61" w:rsidRDefault="009D1EF6" w:rsidP="0000598B">
      <w:pPr>
        <w:jc w:val="both"/>
        <w:rPr>
          <w:sz w:val="22"/>
          <w:szCs w:val="22"/>
        </w:rPr>
      </w:pPr>
    </w:p>
    <w:p w:rsidR="0000598B" w:rsidRPr="00135F61" w:rsidRDefault="0000598B" w:rsidP="0000598B">
      <w:pPr>
        <w:jc w:val="both"/>
        <w:rPr>
          <w:sz w:val="22"/>
          <w:szCs w:val="22"/>
        </w:rPr>
      </w:pPr>
      <w:r w:rsidRPr="00135F61">
        <w:rPr>
          <w:sz w:val="22"/>
          <w:szCs w:val="22"/>
        </w:rPr>
        <w:t xml:space="preserve">The survey shows while logistics services </w:t>
      </w:r>
      <w:r w:rsidR="003C5BCF" w:rsidRPr="00135F61">
        <w:rPr>
          <w:sz w:val="22"/>
          <w:szCs w:val="22"/>
        </w:rPr>
        <w:t>have improved compared to</w:t>
      </w:r>
      <w:r w:rsidRPr="00135F61">
        <w:rPr>
          <w:sz w:val="22"/>
          <w:szCs w:val="22"/>
        </w:rPr>
        <w:t xml:space="preserve"> past surveys, rail services dissatisfied more than 90 percent of respondents. On the border management side, customs agencies got better ratings than all other </w:t>
      </w:r>
      <w:r w:rsidR="003C5BCF" w:rsidRPr="00135F61">
        <w:rPr>
          <w:sz w:val="22"/>
          <w:szCs w:val="22"/>
        </w:rPr>
        <w:t>agencies</w:t>
      </w:r>
      <w:r w:rsidRPr="00135F61">
        <w:rPr>
          <w:sz w:val="22"/>
          <w:szCs w:val="22"/>
        </w:rPr>
        <w:t xml:space="preserve"> involved in the process, with </w:t>
      </w:r>
      <w:r w:rsidR="003C5BCF" w:rsidRPr="00135F61">
        <w:rPr>
          <w:sz w:val="22"/>
          <w:szCs w:val="22"/>
        </w:rPr>
        <w:t>those</w:t>
      </w:r>
      <w:r w:rsidRPr="00135F61">
        <w:rPr>
          <w:sz w:val="22"/>
          <w:szCs w:val="22"/>
        </w:rPr>
        <w:t xml:space="preserve"> </w:t>
      </w:r>
      <w:r w:rsidR="0041466A" w:rsidRPr="00135F61">
        <w:rPr>
          <w:sz w:val="22"/>
          <w:szCs w:val="22"/>
        </w:rPr>
        <w:t>responsible for sanitary and phy</w:t>
      </w:r>
      <w:r w:rsidRPr="00135F61">
        <w:rPr>
          <w:sz w:val="22"/>
          <w:szCs w:val="22"/>
        </w:rPr>
        <w:t>tosanitary regulations lagging behind.</w:t>
      </w:r>
    </w:p>
    <w:p w:rsidR="0000598B" w:rsidRPr="00135F61" w:rsidRDefault="0000598B" w:rsidP="0000598B">
      <w:pPr>
        <w:jc w:val="both"/>
        <w:rPr>
          <w:sz w:val="22"/>
          <w:szCs w:val="22"/>
        </w:rPr>
      </w:pPr>
    </w:p>
    <w:p w:rsidR="0000598B" w:rsidRPr="00135F61" w:rsidRDefault="0000598B" w:rsidP="0000598B">
      <w:pPr>
        <w:jc w:val="both"/>
        <w:rPr>
          <w:b/>
          <w:sz w:val="22"/>
          <w:szCs w:val="22"/>
        </w:rPr>
      </w:pPr>
      <w:r w:rsidRPr="00135F61">
        <w:rPr>
          <w:b/>
          <w:sz w:val="22"/>
          <w:szCs w:val="22"/>
        </w:rPr>
        <w:t>Better logistics needed to reduce food prices and carbon footprint</w:t>
      </w:r>
    </w:p>
    <w:p w:rsidR="0000598B" w:rsidRPr="00135F61" w:rsidRDefault="0000598B" w:rsidP="0000598B">
      <w:pPr>
        <w:jc w:val="both"/>
        <w:rPr>
          <w:sz w:val="22"/>
          <w:szCs w:val="22"/>
        </w:rPr>
      </w:pPr>
    </w:p>
    <w:p w:rsidR="0000598B" w:rsidRPr="00135F61" w:rsidRDefault="0000598B" w:rsidP="0000598B">
      <w:pPr>
        <w:jc w:val="both"/>
        <w:rPr>
          <w:sz w:val="22"/>
          <w:szCs w:val="22"/>
        </w:rPr>
      </w:pPr>
      <w:r w:rsidRPr="00135F61">
        <w:rPr>
          <w:sz w:val="22"/>
          <w:szCs w:val="22"/>
        </w:rPr>
        <w:t>At a time wh</w:t>
      </w:r>
      <w:r w:rsidR="009D1EF6" w:rsidRPr="00135F61">
        <w:rPr>
          <w:sz w:val="22"/>
          <w:szCs w:val="22"/>
        </w:rPr>
        <w:t>ere food prices are at historic</w:t>
      </w:r>
      <w:r w:rsidRPr="00135F61">
        <w:rPr>
          <w:sz w:val="22"/>
          <w:szCs w:val="22"/>
        </w:rPr>
        <w:t xml:space="preserve"> high</w:t>
      </w:r>
      <w:r w:rsidR="009D1EF6" w:rsidRPr="00135F61">
        <w:rPr>
          <w:sz w:val="22"/>
          <w:szCs w:val="22"/>
        </w:rPr>
        <w:t>s</w:t>
      </w:r>
      <w:r w:rsidRPr="00135F61">
        <w:rPr>
          <w:sz w:val="22"/>
          <w:szCs w:val="22"/>
        </w:rPr>
        <w:t>, the survey also found that logistics is important for food security. Transport and logistics directly affect the price and local availability of food through the performance and resilience of food chains, especially in African and Middle Eastern countries that depend heavily on food imports.</w:t>
      </w:r>
    </w:p>
    <w:p w:rsidR="0000598B" w:rsidRPr="00135F61" w:rsidRDefault="0000598B" w:rsidP="0000598B">
      <w:pPr>
        <w:jc w:val="both"/>
        <w:rPr>
          <w:sz w:val="22"/>
          <w:szCs w:val="22"/>
        </w:rPr>
      </w:pPr>
    </w:p>
    <w:p w:rsidR="0000598B" w:rsidRPr="00135F61" w:rsidRDefault="0000598B" w:rsidP="0000598B">
      <w:pPr>
        <w:jc w:val="both"/>
        <w:rPr>
          <w:sz w:val="22"/>
          <w:szCs w:val="22"/>
        </w:rPr>
      </w:pPr>
      <w:r w:rsidRPr="00135F61">
        <w:rPr>
          <w:sz w:val="22"/>
          <w:szCs w:val="22"/>
        </w:rPr>
        <w:lastRenderedPageBreak/>
        <w:t>In developing countries, particularly in landlocked and poor ones, transport and logistics account for 20-60 percent</w:t>
      </w:r>
      <w:r w:rsidR="005F494E" w:rsidRPr="00135F61">
        <w:rPr>
          <w:sz w:val="22"/>
          <w:szCs w:val="22"/>
        </w:rPr>
        <w:t xml:space="preserve"> of delivered food prices. F</w:t>
      </w:r>
      <w:r w:rsidRPr="00135F61">
        <w:rPr>
          <w:sz w:val="22"/>
          <w:szCs w:val="22"/>
        </w:rPr>
        <w:t xml:space="preserve">or instance, </w:t>
      </w:r>
      <w:r w:rsidR="005F494E" w:rsidRPr="00135F61">
        <w:rPr>
          <w:sz w:val="22"/>
          <w:szCs w:val="22"/>
        </w:rPr>
        <w:t xml:space="preserve">they </w:t>
      </w:r>
      <w:r w:rsidRPr="00135F61">
        <w:rPr>
          <w:sz w:val="22"/>
          <w:szCs w:val="22"/>
        </w:rPr>
        <w:t xml:space="preserve">make up 48 percent of the cost of U.S. corn imported by Nicaragua.  </w:t>
      </w:r>
    </w:p>
    <w:p w:rsidR="0000598B" w:rsidRPr="00135F61" w:rsidRDefault="0000598B" w:rsidP="0000598B">
      <w:pPr>
        <w:jc w:val="both"/>
        <w:rPr>
          <w:sz w:val="22"/>
          <w:szCs w:val="22"/>
        </w:rPr>
      </w:pPr>
    </w:p>
    <w:p w:rsidR="0000598B" w:rsidRPr="00135F61" w:rsidRDefault="0000598B" w:rsidP="0000598B">
      <w:pPr>
        <w:jc w:val="both"/>
        <w:rPr>
          <w:sz w:val="22"/>
          <w:szCs w:val="22"/>
        </w:rPr>
      </w:pPr>
      <w:r w:rsidRPr="00135F61">
        <w:rPr>
          <w:sz w:val="22"/>
          <w:szCs w:val="22"/>
        </w:rPr>
        <w:t xml:space="preserve">The survey, which for the first time included environmental indicators, also found that green logistics is quickly gaining prominence in high-income and emerging economies –a positive development since logistics and freight-related activities may account for up to 15 percent of human carbon dioxide emissions. Large </w:t>
      </w:r>
      <w:r w:rsidR="00DE2F49" w:rsidRPr="00135F61">
        <w:rPr>
          <w:sz w:val="22"/>
          <w:szCs w:val="22"/>
        </w:rPr>
        <w:t xml:space="preserve">logistics </w:t>
      </w:r>
      <w:r w:rsidRPr="00135F61">
        <w:rPr>
          <w:sz w:val="22"/>
          <w:szCs w:val="22"/>
        </w:rPr>
        <w:t xml:space="preserve">providers like DHL, FedEx, UPS, and TNT, all now </w:t>
      </w:r>
      <w:r w:rsidR="005F494E" w:rsidRPr="00135F61">
        <w:rPr>
          <w:sz w:val="22"/>
          <w:szCs w:val="22"/>
        </w:rPr>
        <w:t xml:space="preserve">have </w:t>
      </w:r>
      <w:r w:rsidRPr="00135F61">
        <w:rPr>
          <w:sz w:val="22"/>
          <w:szCs w:val="22"/>
        </w:rPr>
        <w:t>global initiatives to reduce the</w:t>
      </w:r>
      <w:r w:rsidR="005F494E" w:rsidRPr="00135F61">
        <w:rPr>
          <w:sz w:val="22"/>
          <w:szCs w:val="22"/>
        </w:rPr>
        <w:t>ir carbon f</w:t>
      </w:r>
      <w:r w:rsidRPr="00135F61">
        <w:rPr>
          <w:sz w:val="22"/>
          <w:szCs w:val="22"/>
        </w:rPr>
        <w:t xml:space="preserve">ootprint, </w:t>
      </w:r>
      <w:r w:rsidR="005F494E" w:rsidRPr="00135F61">
        <w:rPr>
          <w:sz w:val="22"/>
          <w:szCs w:val="22"/>
        </w:rPr>
        <w:t>shift</w:t>
      </w:r>
      <w:r w:rsidRPr="00135F61">
        <w:rPr>
          <w:sz w:val="22"/>
          <w:szCs w:val="22"/>
        </w:rPr>
        <w:t xml:space="preserve"> </w:t>
      </w:r>
      <w:r w:rsidR="005F494E" w:rsidRPr="00135F61">
        <w:rPr>
          <w:sz w:val="22"/>
          <w:szCs w:val="22"/>
        </w:rPr>
        <w:t>to more efficient vehicles, make</w:t>
      </w:r>
      <w:r w:rsidRPr="00135F61">
        <w:rPr>
          <w:sz w:val="22"/>
          <w:szCs w:val="22"/>
        </w:rPr>
        <w:t xml:space="preserve"> facilities more efficient, </w:t>
      </w:r>
      <w:r w:rsidR="005F494E" w:rsidRPr="00135F61">
        <w:rPr>
          <w:sz w:val="22"/>
          <w:szCs w:val="22"/>
        </w:rPr>
        <w:t xml:space="preserve"> and help clients</w:t>
      </w:r>
      <w:r w:rsidRPr="00135F61">
        <w:rPr>
          <w:sz w:val="22"/>
          <w:szCs w:val="22"/>
        </w:rPr>
        <w:t xml:space="preserve"> become more green-friendly</w:t>
      </w:r>
    </w:p>
    <w:p w:rsidR="0000598B" w:rsidRPr="00135F61" w:rsidRDefault="0000598B" w:rsidP="0000598B">
      <w:pPr>
        <w:jc w:val="both"/>
        <w:rPr>
          <w:sz w:val="22"/>
          <w:szCs w:val="22"/>
        </w:rPr>
      </w:pPr>
    </w:p>
    <w:p w:rsidR="0000598B" w:rsidRPr="00135F61" w:rsidRDefault="0000598B" w:rsidP="0000598B">
      <w:pPr>
        <w:jc w:val="both"/>
        <w:rPr>
          <w:b/>
          <w:sz w:val="22"/>
          <w:szCs w:val="22"/>
        </w:rPr>
      </w:pPr>
      <w:r w:rsidRPr="00135F61">
        <w:rPr>
          <w:b/>
          <w:sz w:val="22"/>
          <w:szCs w:val="22"/>
        </w:rPr>
        <w:t>The way forward</w:t>
      </w:r>
    </w:p>
    <w:p w:rsidR="0000598B" w:rsidRPr="00135F61" w:rsidRDefault="0000598B" w:rsidP="0000598B">
      <w:pPr>
        <w:jc w:val="both"/>
        <w:rPr>
          <w:rFonts w:eastAsiaTheme="minorHAnsi"/>
          <w:color w:val="000000"/>
          <w:sz w:val="22"/>
          <w:szCs w:val="22"/>
        </w:rPr>
      </w:pPr>
    </w:p>
    <w:p w:rsidR="0000598B" w:rsidRPr="00135F61" w:rsidRDefault="0000598B" w:rsidP="0000598B">
      <w:pPr>
        <w:jc w:val="both"/>
        <w:rPr>
          <w:rFonts w:eastAsiaTheme="minorHAnsi"/>
          <w:color w:val="000000"/>
          <w:sz w:val="22"/>
          <w:szCs w:val="22"/>
        </w:rPr>
      </w:pPr>
      <w:r w:rsidRPr="00135F61">
        <w:rPr>
          <w:rFonts w:eastAsiaTheme="minorHAnsi"/>
          <w:color w:val="000000"/>
          <w:sz w:val="22"/>
          <w:szCs w:val="22"/>
        </w:rPr>
        <w:t xml:space="preserve">The 2012 LPI shows preconditions for efficient logistics.  All top performers have developed and maintained a strong public-private partnership and dialogue; good cooperation between policymakers, </w:t>
      </w:r>
      <w:proofErr w:type="spellStart"/>
      <w:r w:rsidRPr="00135F61">
        <w:rPr>
          <w:rFonts w:eastAsiaTheme="minorHAnsi"/>
          <w:color w:val="000000"/>
          <w:sz w:val="22"/>
          <w:szCs w:val="22"/>
        </w:rPr>
        <w:t>practioners</w:t>
      </w:r>
      <w:proofErr w:type="spellEnd"/>
      <w:r w:rsidRPr="00135F61">
        <w:rPr>
          <w:rFonts w:eastAsiaTheme="minorHAnsi"/>
          <w:color w:val="000000"/>
          <w:sz w:val="22"/>
          <w:szCs w:val="22"/>
        </w:rPr>
        <w:t>,</w:t>
      </w:r>
      <w:r w:rsidR="005F494E" w:rsidRPr="00135F61">
        <w:rPr>
          <w:rFonts w:eastAsiaTheme="minorHAnsi"/>
          <w:color w:val="000000"/>
          <w:sz w:val="22"/>
          <w:szCs w:val="22"/>
        </w:rPr>
        <w:t xml:space="preserve"> </w:t>
      </w:r>
      <w:r w:rsidRPr="00135F61">
        <w:rPr>
          <w:rFonts w:eastAsiaTheme="minorHAnsi"/>
          <w:color w:val="000000"/>
          <w:sz w:val="22"/>
          <w:szCs w:val="22"/>
        </w:rPr>
        <w:t xml:space="preserve">administrators and academics; </w:t>
      </w:r>
      <w:r w:rsidR="00DE2F49" w:rsidRPr="00135F61">
        <w:rPr>
          <w:rFonts w:eastAsiaTheme="minorHAnsi"/>
          <w:color w:val="000000"/>
          <w:sz w:val="22"/>
          <w:szCs w:val="22"/>
        </w:rPr>
        <w:t xml:space="preserve">and </w:t>
      </w:r>
      <w:r w:rsidRPr="00135F61">
        <w:rPr>
          <w:rFonts w:eastAsiaTheme="minorHAnsi"/>
          <w:color w:val="000000"/>
          <w:sz w:val="22"/>
          <w:szCs w:val="22"/>
        </w:rPr>
        <w:t xml:space="preserve">a comprehensive approach in the development of </w:t>
      </w:r>
      <w:r w:rsidR="00DE2F49" w:rsidRPr="00135F61">
        <w:rPr>
          <w:rFonts w:eastAsiaTheme="minorHAnsi"/>
          <w:color w:val="000000"/>
          <w:sz w:val="22"/>
          <w:szCs w:val="22"/>
        </w:rPr>
        <w:t xml:space="preserve">transport </w:t>
      </w:r>
      <w:r w:rsidRPr="00135F61">
        <w:rPr>
          <w:rFonts w:eastAsiaTheme="minorHAnsi"/>
          <w:color w:val="000000"/>
          <w:sz w:val="22"/>
          <w:szCs w:val="22"/>
        </w:rPr>
        <w:t>services, infrast</w:t>
      </w:r>
      <w:r w:rsidR="00DE2F49" w:rsidRPr="00135F61">
        <w:rPr>
          <w:rFonts w:eastAsiaTheme="minorHAnsi"/>
          <w:color w:val="000000"/>
          <w:sz w:val="22"/>
          <w:szCs w:val="22"/>
        </w:rPr>
        <w:t>ructure and efficient logistics.</w:t>
      </w:r>
    </w:p>
    <w:p w:rsidR="0000598B" w:rsidRPr="00135F61" w:rsidRDefault="0000598B" w:rsidP="0000598B">
      <w:pPr>
        <w:jc w:val="both"/>
        <w:rPr>
          <w:rFonts w:eastAsiaTheme="minorHAnsi"/>
          <w:color w:val="000000"/>
          <w:sz w:val="22"/>
          <w:szCs w:val="22"/>
        </w:rPr>
      </w:pPr>
    </w:p>
    <w:p w:rsidR="0000598B" w:rsidRPr="00135F61" w:rsidRDefault="0000598B" w:rsidP="0000598B">
      <w:pPr>
        <w:jc w:val="both"/>
        <w:rPr>
          <w:rFonts w:eastAsiaTheme="minorHAnsi"/>
          <w:color w:val="000000"/>
          <w:sz w:val="22"/>
          <w:szCs w:val="22"/>
        </w:rPr>
      </w:pPr>
      <w:r w:rsidRPr="00135F61">
        <w:rPr>
          <w:rFonts w:eastAsiaTheme="minorHAnsi"/>
          <w:color w:val="000000"/>
          <w:sz w:val="22"/>
          <w:szCs w:val="22"/>
        </w:rPr>
        <w:t xml:space="preserve">Only by fostering cooperation between the public and private sectors, and by considering the </w:t>
      </w:r>
      <w:r w:rsidR="00F2339A" w:rsidRPr="00135F61">
        <w:rPr>
          <w:rFonts w:eastAsiaTheme="minorHAnsi"/>
          <w:color w:val="000000"/>
          <w:sz w:val="22"/>
          <w:szCs w:val="22"/>
        </w:rPr>
        <w:t xml:space="preserve">impact </w:t>
      </w:r>
      <w:r w:rsidRPr="00135F61">
        <w:rPr>
          <w:rFonts w:eastAsiaTheme="minorHAnsi"/>
          <w:color w:val="000000"/>
          <w:sz w:val="22"/>
          <w:szCs w:val="22"/>
        </w:rPr>
        <w:t xml:space="preserve">of </w:t>
      </w:r>
      <w:r w:rsidR="00F2339A" w:rsidRPr="00135F61">
        <w:rPr>
          <w:rFonts w:eastAsiaTheme="minorHAnsi"/>
          <w:color w:val="000000"/>
          <w:sz w:val="22"/>
          <w:szCs w:val="22"/>
        </w:rPr>
        <w:t xml:space="preserve">all </w:t>
      </w:r>
      <w:r w:rsidRPr="00135F61">
        <w:rPr>
          <w:rFonts w:eastAsiaTheme="minorHAnsi"/>
          <w:color w:val="000000"/>
          <w:sz w:val="22"/>
          <w:szCs w:val="22"/>
        </w:rPr>
        <w:t xml:space="preserve">agencies </w:t>
      </w:r>
      <w:r w:rsidR="00F2339A" w:rsidRPr="00135F61">
        <w:rPr>
          <w:rFonts w:eastAsiaTheme="minorHAnsi"/>
          <w:color w:val="000000"/>
          <w:sz w:val="22"/>
          <w:szCs w:val="22"/>
        </w:rPr>
        <w:t>on the supply chain c</w:t>
      </w:r>
      <w:r w:rsidRPr="00135F61">
        <w:rPr>
          <w:rFonts w:eastAsiaTheme="minorHAnsi"/>
          <w:color w:val="000000"/>
          <w:sz w:val="22"/>
          <w:szCs w:val="22"/>
        </w:rPr>
        <w:t>an a country create sustainable improvements in its logistical capabilities, the study says.</w:t>
      </w:r>
    </w:p>
    <w:p w:rsidR="0000598B" w:rsidRPr="00135F61" w:rsidRDefault="0000598B" w:rsidP="0000598B">
      <w:pPr>
        <w:jc w:val="both"/>
        <w:rPr>
          <w:sz w:val="22"/>
          <w:szCs w:val="22"/>
        </w:rPr>
      </w:pPr>
    </w:p>
    <w:p w:rsidR="0000598B" w:rsidRPr="00135F61" w:rsidRDefault="0000598B" w:rsidP="0000598B">
      <w:pPr>
        <w:rPr>
          <w:b/>
          <w:sz w:val="22"/>
          <w:szCs w:val="22"/>
        </w:rPr>
      </w:pPr>
      <w:r w:rsidRPr="00135F61">
        <w:rPr>
          <w:b/>
          <w:sz w:val="22"/>
          <w:szCs w:val="22"/>
        </w:rPr>
        <w:t xml:space="preserve">What the World Bank is doing to help improve trade logistics </w:t>
      </w:r>
    </w:p>
    <w:p w:rsidR="008D7A5C" w:rsidRPr="00135F61" w:rsidRDefault="008D7A5C" w:rsidP="0000598B">
      <w:pPr>
        <w:rPr>
          <w:sz w:val="22"/>
          <w:szCs w:val="22"/>
        </w:rPr>
      </w:pPr>
    </w:p>
    <w:p w:rsidR="002709B3" w:rsidRPr="00135F61" w:rsidRDefault="00AE35EA" w:rsidP="006C16D2">
      <w:pPr>
        <w:pStyle w:val="ListParagraph"/>
        <w:numPr>
          <w:ilvl w:val="0"/>
          <w:numId w:val="3"/>
        </w:numPr>
        <w:rPr>
          <w:sz w:val="22"/>
          <w:szCs w:val="22"/>
        </w:rPr>
      </w:pPr>
      <w:r w:rsidRPr="00135F61">
        <w:rPr>
          <w:sz w:val="22"/>
          <w:szCs w:val="22"/>
        </w:rPr>
        <w:t>Projects dealing with logistics and trade facilitation constitute about</w:t>
      </w:r>
      <w:r w:rsidR="002936A4" w:rsidRPr="00135F61">
        <w:rPr>
          <w:sz w:val="22"/>
          <w:szCs w:val="22"/>
        </w:rPr>
        <w:t xml:space="preserve"> 10 percent</w:t>
      </w:r>
      <w:r w:rsidRPr="00135F61">
        <w:rPr>
          <w:sz w:val="22"/>
          <w:szCs w:val="22"/>
        </w:rPr>
        <w:t xml:space="preserve"> of the World Bank’s overall portfolio. </w:t>
      </w:r>
    </w:p>
    <w:p w:rsidR="002709B3" w:rsidRPr="00135F61" w:rsidRDefault="002709B3" w:rsidP="002709B3">
      <w:pPr>
        <w:rPr>
          <w:sz w:val="22"/>
          <w:szCs w:val="22"/>
        </w:rPr>
      </w:pPr>
    </w:p>
    <w:p w:rsidR="006C16D2" w:rsidRPr="00135F61" w:rsidRDefault="006C16D2" w:rsidP="006C16D2">
      <w:pPr>
        <w:pStyle w:val="ListParagraph"/>
        <w:numPr>
          <w:ilvl w:val="0"/>
          <w:numId w:val="3"/>
        </w:numPr>
        <w:rPr>
          <w:sz w:val="22"/>
          <w:szCs w:val="22"/>
        </w:rPr>
      </w:pPr>
      <w:r w:rsidRPr="00135F61">
        <w:rPr>
          <w:sz w:val="22"/>
          <w:szCs w:val="22"/>
        </w:rPr>
        <w:t xml:space="preserve">Examples of these projects include customs reforms, trade development, </w:t>
      </w:r>
      <w:r w:rsidR="002709B3" w:rsidRPr="00135F61">
        <w:rPr>
          <w:sz w:val="22"/>
          <w:szCs w:val="22"/>
        </w:rPr>
        <w:t>and</w:t>
      </w:r>
      <w:r w:rsidRPr="00135F61">
        <w:rPr>
          <w:sz w:val="22"/>
          <w:szCs w:val="22"/>
        </w:rPr>
        <w:t xml:space="preserve"> regional and corridor projects</w:t>
      </w:r>
      <w:r w:rsidR="002709B3" w:rsidRPr="00135F61">
        <w:rPr>
          <w:sz w:val="22"/>
          <w:szCs w:val="22"/>
        </w:rPr>
        <w:t>. In</w:t>
      </w:r>
      <w:r w:rsidRPr="00135F61">
        <w:rPr>
          <w:sz w:val="22"/>
          <w:szCs w:val="22"/>
        </w:rPr>
        <w:t xml:space="preserve"> Africa</w:t>
      </w:r>
      <w:r w:rsidR="002709B3" w:rsidRPr="00135F61">
        <w:rPr>
          <w:sz w:val="22"/>
          <w:szCs w:val="22"/>
        </w:rPr>
        <w:t xml:space="preserve">, for instance, </w:t>
      </w:r>
      <w:r w:rsidRPr="00135F61">
        <w:rPr>
          <w:sz w:val="22"/>
          <w:szCs w:val="22"/>
        </w:rPr>
        <w:t xml:space="preserve">the $300 million East Africa Trade and Transport Facilitation Project improved the corridor infrastructure and upgraded the main border crossing between Uganda and Kenya at </w:t>
      </w:r>
      <w:proofErr w:type="spellStart"/>
      <w:r w:rsidRPr="00135F61">
        <w:rPr>
          <w:sz w:val="22"/>
          <w:szCs w:val="22"/>
        </w:rPr>
        <w:t>Malaba</w:t>
      </w:r>
      <w:proofErr w:type="spellEnd"/>
      <w:r w:rsidR="002709B3" w:rsidRPr="00135F61">
        <w:rPr>
          <w:sz w:val="22"/>
          <w:szCs w:val="22"/>
        </w:rPr>
        <w:t>. The project reduced</w:t>
      </w:r>
      <w:r w:rsidRPr="00135F61">
        <w:rPr>
          <w:sz w:val="22"/>
          <w:szCs w:val="22"/>
        </w:rPr>
        <w:t xml:space="preserve"> border crossing times from three days to three hours </w:t>
      </w:r>
      <w:r w:rsidR="002709B3" w:rsidRPr="00135F61">
        <w:rPr>
          <w:sz w:val="22"/>
          <w:szCs w:val="22"/>
        </w:rPr>
        <w:t>between 2006 and</w:t>
      </w:r>
      <w:r w:rsidRPr="00135F61">
        <w:rPr>
          <w:sz w:val="22"/>
          <w:szCs w:val="22"/>
        </w:rPr>
        <w:t xml:space="preserve"> 2012.</w:t>
      </w:r>
    </w:p>
    <w:p w:rsidR="006C16D2" w:rsidRPr="00135F61" w:rsidRDefault="006C16D2" w:rsidP="006C16D2">
      <w:pPr>
        <w:rPr>
          <w:sz w:val="22"/>
          <w:szCs w:val="22"/>
        </w:rPr>
      </w:pPr>
    </w:p>
    <w:p w:rsidR="006C16D2" w:rsidRPr="00135F61" w:rsidRDefault="006C16D2" w:rsidP="006C16D2">
      <w:pPr>
        <w:pStyle w:val="ListParagraph"/>
        <w:numPr>
          <w:ilvl w:val="0"/>
          <w:numId w:val="3"/>
        </w:numPr>
        <w:rPr>
          <w:sz w:val="22"/>
          <w:szCs w:val="22"/>
        </w:rPr>
      </w:pPr>
      <w:r w:rsidRPr="00135F61">
        <w:rPr>
          <w:sz w:val="22"/>
          <w:szCs w:val="22"/>
        </w:rPr>
        <w:t>The Trade Facilitation Facility, a donor-funded technical assistance initiative of $50 million</w:t>
      </w:r>
      <w:r w:rsidR="0041466A" w:rsidRPr="00135F61">
        <w:rPr>
          <w:sz w:val="22"/>
          <w:szCs w:val="22"/>
        </w:rPr>
        <w:t>, is helping low-</w:t>
      </w:r>
      <w:r w:rsidRPr="00135F61">
        <w:rPr>
          <w:sz w:val="22"/>
          <w:szCs w:val="22"/>
        </w:rPr>
        <w:t>income countries improve their logistics projects and trade-related infrastructure.</w:t>
      </w:r>
    </w:p>
    <w:p w:rsidR="006C16D2" w:rsidRPr="00135F61" w:rsidRDefault="006C16D2" w:rsidP="006C16D2">
      <w:pPr>
        <w:rPr>
          <w:sz w:val="22"/>
          <w:szCs w:val="22"/>
        </w:rPr>
      </w:pPr>
    </w:p>
    <w:p w:rsidR="006C16D2" w:rsidRPr="00135F61" w:rsidRDefault="006C16D2" w:rsidP="006C16D2">
      <w:pPr>
        <w:pStyle w:val="ListParagraph"/>
        <w:numPr>
          <w:ilvl w:val="0"/>
          <w:numId w:val="3"/>
        </w:numPr>
        <w:rPr>
          <w:sz w:val="22"/>
          <w:szCs w:val="22"/>
        </w:rPr>
      </w:pPr>
      <w:r w:rsidRPr="00135F61">
        <w:rPr>
          <w:sz w:val="22"/>
          <w:szCs w:val="22"/>
        </w:rPr>
        <w:t>The World Bank is also working with:</w:t>
      </w:r>
    </w:p>
    <w:p w:rsidR="006C16D2" w:rsidRPr="00135F61" w:rsidRDefault="006C16D2" w:rsidP="006C16D2">
      <w:pPr>
        <w:pStyle w:val="ListParagraph"/>
        <w:numPr>
          <w:ilvl w:val="1"/>
          <w:numId w:val="3"/>
        </w:numPr>
        <w:rPr>
          <w:sz w:val="22"/>
          <w:szCs w:val="22"/>
        </w:rPr>
      </w:pPr>
      <w:r w:rsidRPr="00135F61">
        <w:rPr>
          <w:sz w:val="22"/>
          <w:szCs w:val="22"/>
        </w:rPr>
        <w:t xml:space="preserve">Other international partners involved in projects, </w:t>
      </w:r>
      <w:r w:rsidR="003137D9" w:rsidRPr="00135F61">
        <w:rPr>
          <w:sz w:val="22"/>
          <w:szCs w:val="22"/>
        </w:rPr>
        <w:t xml:space="preserve">including </w:t>
      </w:r>
      <w:r w:rsidRPr="00135F61">
        <w:rPr>
          <w:sz w:val="22"/>
          <w:szCs w:val="22"/>
        </w:rPr>
        <w:t xml:space="preserve"> regional development banks,  UNCTAD, </w:t>
      </w:r>
      <w:r w:rsidR="002709B3" w:rsidRPr="00135F61">
        <w:rPr>
          <w:sz w:val="22"/>
          <w:szCs w:val="22"/>
        </w:rPr>
        <w:t xml:space="preserve">and </w:t>
      </w:r>
      <w:r w:rsidRPr="00135F61">
        <w:rPr>
          <w:sz w:val="22"/>
          <w:szCs w:val="22"/>
        </w:rPr>
        <w:t xml:space="preserve">the World Customs Organizations, </w:t>
      </w:r>
      <w:r w:rsidR="003137D9" w:rsidRPr="00135F61">
        <w:rPr>
          <w:sz w:val="22"/>
          <w:szCs w:val="22"/>
        </w:rPr>
        <w:t xml:space="preserve">all of </w:t>
      </w:r>
      <w:r w:rsidRPr="00135F61">
        <w:rPr>
          <w:sz w:val="22"/>
          <w:szCs w:val="22"/>
        </w:rPr>
        <w:t xml:space="preserve">which </w:t>
      </w:r>
      <w:r w:rsidR="003137D9" w:rsidRPr="00135F61">
        <w:rPr>
          <w:sz w:val="22"/>
          <w:szCs w:val="22"/>
        </w:rPr>
        <w:t xml:space="preserve">are members of the </w:t>
      </w:r>
      <w:r w:rsidRPr="00135F61">
        <w:rPr>
          <w:sz w:val="22"/>
          <w:szCs w:val="22"/>
        </w:rPr>
        <w:t xml:space="preserve"> Global Facilitation Partnership. </w:t>
      </w:r>
    </w:p>
    <w:p w:rsidR="006C16D2" w:rsidRPr="00135F61" w:rsidRDefault="006C16D2" w:rsidP="006C16D2">
      <w:pPr>
        <w:pStyle w:val="ListParagraph"/>
        <w:numPr>
          <w:ilvl w:val="1"/>
          <w:numId w:val="3"/>
        </w:numPr>
        <w:rPr>
          <w:sz w:val="22"/>
          <w:szCs w:val="22"/>
        </w:rPr>
      </w:pPr>
      <w:r w:rsidRPr="00135F61">
        <w:rPr>
          <w:sz w:val="22"/>
          <w:szCs w:val="22"/>
        </w:rPr>
        <w:t>Regional groups of countries and forums like the Asia-Pacific Economic Cooperation, the Common Market for Eastern and Southern Africa (COMESA), and the Economic Community of West African States (ECOWAS), among others.</w:t>
      </w:r>
    </w:p>
    <w:p w:rsidR="006C16D2" w:rsidRPr="00135F61" w:rsidRDefault="006C16D2" w:rsidP="006C16D2">
      <w:pPr>
        <w:pStyle w:val="ListParagraph"/>
        <w:numPr>
          <w:ilvl w:val="1"/>
          <w:numId w:val="3"/>
        </w:numPr>
        <w:rPr>
          <w:sz w:val="22"/>
          <w:szCs w:val="22"/>
        </w:rPr>
      </w:pPr>
      <w:r w:rsidRPr="00135F61">
        <w:rPr>
          <w:sz w:val="22"/>
          <w:szCs w:val="22"/>
        </w:rPr>
        <w:t>Private organizations and companies promoting good practices, including the international Road Union, and the International Federation of Freight Forwarders Associations.</w:t>
      </w:r>
    </w:p>
    <w:p w:rsidR="006C16D2" w:rsidRPr="00135F61" w:rsidRDefault="00865816" w:rsidP="006C16D2">
      <w:pPr>
        <w:pStyle w:val="ListParagraph"/>
        <w:numPr>
          <w:ilvl w:val="1"/>
          <w:numId w:val="3"/>
        </w:numPr>
        <w:rPr>
          <w:sz w:val="22"/>
          <w:szCs w:val="22"/>
        </w:rPr>
      </w:pPr>
      <w:r w:rsidRPr="00135F61">
        <w:rPr>
          <w:color w:val="000000"/>
          <w:sz w:val="22"/>
          <w:szCs w:val="22"/>
        </w:rPr>
        <w:t>The World Economic Forum to analyze the potential for multilaterally agreed measures to boost logistics service delivery and the efficiency of global supply chains. The WEF also uses the LPI as an input into its competitiveness indicators.</w:t>
      </w:r>
    </w:p>
    <w:p w:rsidR="006C16D2" w:rsidRPr="00135F61" w:rsidRDefault="006C16D2" w:rsidP="006C16D2">
      <w:pPr>
        <w:rPr>
          <w:sz w:val="22"/>
          <w:szCs w:val="22"/>
        </w:rPr>
      </w:pPr>
    </w:p>
    <w:p w:rsidR="004C7223" w:rsidRPr="00135F61" w:rsidRDefault="004C7223" w:rsidP="004C7223">
      <w:pPr>
        <w:ind w:left="720"/>
        <w:jc w:val="center"/>
        <w:rPr>
          <w:iCs/>
          <w:color w:val="000000"/>
          <w:sz w:val="22"/>
          <w:szCs w:val="22"/>
        </w:rPr>
      </w:pPr>
      <w:r w:rsidRPr="00135F61">
        <w:rPr>
          <w:iCs/>
          <w:color w:val="000000"/>
          <w:sz w:val="22"/>
          <w:szCs w:val="22"/>
        </w:rPr>
        <w:t>-###-</w:t>
      </w:r>
    </w:p>
    <w:p w:rsidR="004C7223" w:rsidRPr="00135F61" w:rsidRDefault="004C7223" w:rsidP="004C7223">
      <w:pPr>
        <w:ind w:left="720"/>
        <w:jc w:val="center"/>
        <w:rPr>
          <w:iCs/>
          <w:color w:val="000000"/>
          <w:sz w:val="22"/>
          <w:szCs w:val="22"/>
        </w:rPr>
      </w:pPr>
    </w:p>
    <w:p w:rsidR="004C7223" w:rsidRPr="00135F61" w:rsidRDefault="004C7223" w:rsidP="004C7223">
      <w:pPr>
        <w:jc w:val="center"/>
        <w:rPr>
          <w:i/>
          <w:iCs/>
          <w:color w:val="000000"/>
          <w:sz w:val="22"/>
          <w:szCs w:val="22"/>
        </w:rPr>
      </w:pPr>
      <w:r w:rsidRPr="00135F61">
        <w:rPr>
          <w:b/>
          <w:i/>
          <w:iCs/>
          <w:color w:val="000000"/>
          <w:sz w:val="22"/>
          <w:szCs w:val="22"/>
        </w:rPr>
        <w:t>Please see the LPI Ranking in page below</w:t>
      </w:r>
    </w:p>
    <w:p w:rsidR="004C7223" w:rsidRPr="00784BDD" w:rsidRDefault="004C7223" w:rsidP="004C7223">
      <w:pPr>
        <w:jc w:val="center"/>
        <w:rPr>
          <w:rStyle w:val="Emphasis"/>
          <w:i w:val="0"/>
          <w:sz w:val="22"/>
          <w:szCs w:val="22"/>
        </w:rPr>
      </w:pPr>
      <w:r w:rsidRPr="00784BDD">
        <w:rPr>
          <w:i/>
          <w:iCs/>
          <w:color w:val="000000"/>
          <w:sz w:val="22"/>
          <w:szCs w:val="22"/>
        </w:rPr>
        <w:t xml:space="preserve">To access the report under embargo, please visit: </w:t>
      </w:r>
      <w:hyperlink r:id="rId12" w:history="1">
        <w:r w:rsidR="00784BDD" w:rsidRPr="009170D3">
          <w:rPr>
            <w:rStyle w:val="Hyperlink"/>
            <w:i/>
            <w:sz w:val="22"/>
            <w:szCs w:val="22"/>
          </w:rPr>
          <w:t>https://media.worldbank.org/secure/lpi2012</w:t>
        </w:r>
      </w:hyperlink>
      <w:r w:rsidR="00784BDD">
        <w:rPr>
          <w:i/>
          <w:color w:val="000000"/>
          <w:sz w:val="22"/>
          <w:szCs w:val="22"/>
        </w:rPr>
        <w:t xml:space="preserve"> </w:t>
      </w:r>
    </w:p>
    <w:p w:rsidR="007E11FB" w:rsidRPr="007E11FB" w:rsidRDefault="00286358" w:rsidP="007E11FB">
      <w:pPr>
        <w:jc w:val="center"/>
        <w:rPr>
          <w:i/>
          <w:iCs/>
          <w:color w:val="000000"/>
          <w:sz w:val="22"/>
          <w:szCs w:val="22"/>
        </w:rPr>
      </w:pPr>
      <w:r w:rsidRPr="007E11FB">
        <w:rPr>
          <w:i/>
          <w:sz w:val="22"/>
          <w:szCs w:val="22"/>
        </w:rPr>
        <w:t xml:space="preserve">To learn more about what the World Bank is doing on trade, please visit: </w:t>
      </w:r>
      <w:hyperlink r:id="rId13" w:history="1">
        <w:r w:rsidR="007E11FB" w:rsidRPr="007E11FB">
          <w:rPr>
            <w:rStyle w:val="Hyperlink"/>
            <w:i/>
            <w:sz w:val="22"/>
            <w:szCs w:val="22"/>
          </w:rPr>
          <w:t>www.worldbank.org/trade</w:t>
        </w:r>
      </w:hyperlink>
      <w:r w:rsidR="007E11FB" w:rsidRPr="007E11FB">
        <w:rPr>
          <w:i/>
          <w:sz w:val="22"/>
          <w:szCs w:val="22"/>
        </w:rPr>
        <w:t xml:space="preserve"> </w:t>
      </w:r>
    </w:p>
    <w:p w:rsidR="00286358" w:rsidRDefault="00286358" w:rsidP="0000598B">
      <w:pPr>
        <w:jc w:val="center"/>
        <w:rPr>
          <w:sz w:val="22"/>
          <w:szCs w:val="22"/>
        </w:rPr>
      </w:pPr>
    </w:p>
    <w:p w:rsidR="00516EC8" w:rsidRDefault="00516EC8" w:rsidP="00516EC8">
      <w:pPr>
        <w:pStyle w:val="Heading1"/>
      </w:pPr>
      <w:bookmarkStart w:id="0" w:name="_Toc323127036"/>
      <w:r>
        <w:t>LPI ranking and scores 2012</w:t>
      </w:r>
      <w:bookmarkEnd w:id="0"/>
      <w:r w:rsidR="00767D5D">
        <w:t>*</w:t>
      </w:r>
    </w:p>
    <w:p w:rsidR="00516EC8" w:rsidRPr="00516EC8" w:rsidRDefault="00516EC8" w:rsidP="00516EC8"/>
    <w:tbl>
      <w:tblPr>
        <w:tblW w:w="10230" w:type="dxa"/>
        <w:tblInd w:w="91" w:type="dxa"/>
        <w:tblLook w:val="04A0"/>
      </w:tblPr>
      <w:tblGrid>
        <w:gridCol w:w="1082"/>
        <w:gridCol w:w="561"/>
        <w:gridCol w:w="766"/>
        <w:gridCol w:w="867"/>
        <w:gridCol w:w="222"/>
        <w:gridCol w:w="1154"/>
        <w:gridCol w:w="561"/>
        <w:gridCol w:w="606"/>
        <w:gridCol w:w="856"/>
        <w:gridCol w:w="222"/>
        <w:gridCol w:w="1125"/>
        <w:gridCol w:w="561"/>
        <w:gridCol w:w="791"/>
        <w:gridCol w:w="856"/>
      </w:tblGrid>
      <w:tr w:rsidR="00516EC8" w:rsidRPr="002F4991" w:rsidTr="00516EC8">
        <w:trPr>
          <w:trHeight w:val="99"/>
          <w:tblHeader/>
        </w:trPr>
        <w:tc>
          <w:tcPr>
            <w:tcW w:w="1082" w:type="dxa"/>
            <w:vMerge w:val="restart"/>
            <w:tcBorders>
              <w:top w:val="nil"/>
              <w:left w:val="single" w:sz="8" w:space="0" w:color="808080"/>
              <w:bottom w:val="nil"/>
              <w:right w:val="nil"/>
            </w:tcBorders>
            <w:shd w:val="clear" w:color="000000" w:fill="008080"/>
            <w:vAlign w:val="center"/>
            <w:hideMark/>
          </w:tcPr>
          <w:p w:rsidR="00516EC8" w:rsidRPr="002F4991" w:rsidRDefault="00516EC8" w:rsidP="00516EC8">
            <w:pPr>
              <w:rPr>
                <w:rFonts w:ascii="Arial Narrow" w:hAnsi="Arial Narrow"/>
                <w:b/>
                <w:bCs/>
                <w:sz w:val="18"/>
                <w:szCs w:val="18"/>
              </w:rPr>
            </w:pPr>
          </w:p>
        </w:tc>
        <w:tc>
          <w:tcPr>
            <w:tcW w:w="1327" w:type="dxa"/>
            <w:gridSpan w:val="2"/>
            <w:tcBorders>
              <w:top w:val="nil"/>
              <w:left w:val="nil"/>
              <w:bottom w:val="nil"/>
              <w:right w:val="nil"/>
            </w:tcBorders>
            <w:shd w:val="clear" w:color="000000" w:fill="003366"/>
            <w:vAlign w:val="bottom"/>
            <w:hideMark/>
          </w:tcPr>
          <w:p w:rsidR="00516EC8" w:rsidRPr="002F4991" w:rsidRDefault="00516EC8" w:rsidP="00516EC8">
            <w:pPr>
              <w:rPr>
                <w:rFonts w:ascii="Arial Narrow" w:hAnsi="Arial Narrow"/>
                <w:b/>
                <w:bCs/>
                <w:sz w:val="18"/>
                <w:szCs w:val="18"/>
              </w:rPr>
            </w:pPr>
          </w:p>
        </w:tc>
        <w:tc>
          <w:tcPr>
            <w:tcW w:w="867" w:type="dxa"/>
            <w:tcBorders>
              <w:top w:val="nil"/>
              <w:left w:val="nil"/>
              <w:bottom w:val="nil"/>
              <w:right w:val="nil"/>
            </w:tcBorders>
            <w:shd w:val="clear" w:color="000000" w:fill="003366"/>
            <w:vAlign w:val="bottom"/>
            <w:hideMark/>
          </w:tcPr>
          <w:p w:rsidR="00516EC8" w:rsidRPr="002F4991" w:rsidRDefault="00516EC8" w:rsidP="00516EC8">
            <w:pPr>
              <w:rPr>
                <w:rFonts w:ascii="Arial Narrow" w:hAnsi="Arial Narrow"/>
                <w:b/>
                <w:bCs/>
                <w:sz w:val="18"/>
                <w:szCs w:val="18"/>
              </w:rPr>
            </w:pPr>
          </w:p>
        </w:tc>
        <w:tc>
          <w:tcPr>
            <w:tcW w:w="222" w:type="dxa"/>
            <w:tcBorders>
              <w:top w:val="nil"/>
              <w:left w:val="nil"/>
              <w:bottom w:val="nil"/>
              <w:right w:val="nil"/>
            </w:tcBorders>
            <w:shd w:val="clear" w:color="auto" w:fill="auto"/>
            <w:vAlign w:val="bottom"/>
            <w:hideMark/>
          </w:tcPr>
          <w:p w:rsidR="00516EC8" w:rsidRPr="002F4991" w:rsidRDefault="00516EC8" w:rsidP="00516EC8">
            <w:pPr>
              <w:rPr>
                <w:rFonts w:ascii="Arial Narrow" w:hAnsi="Arial Narrow"/>
                <w:sz w:val="18"/>
                <w:szCs w:val="18"/>
              </w:rPr>
            </w:pPr>
          </w:p>
        </w:tc>
        <w:tc>
          <w:tcPr>
            <w:tcW w:w="1154" w:type="dxa"/>
            <w:vMerge w:val="restart"/>
            <w:tcBorders>
              <w:top w:val="nil"/>
              <w:left w:val="nil"/>
              <w:bottom w:val="nil"/>
              <w:right w:val="nil"/>
            </w:tcBorders>
            <w:shd w:val="clear" w:color="000000" w:fill="008080"/>
            <w:vAlign w:val="center"/>
            <w:hideMark/>
          </w:tcPr>
          <w:p w:rsidR="00516EC8" w:rsidRPr="002F4991" w:rsidRDefault="00516EC8" w:rsidP="00516EC8">
            <w:pPr>
              <w:rPr>
                <w:rFonts w:ascii="Arial Narrow" w:hAnsi="Arial Narrow"/>
                <w:b/>
                <w:bCs/>
                <w:sz w:val="18"/>
                <w:szCs w:val="18"/>
              </w:rPr>
            </w:pPr>
          </w:p>
        </w:tc>
        <w:tc>
          <w:tcPr>
            <w:tcW w:w="1167" w:type="dxa"/>
            <w:gridSpan w:val="2"/>
            <w:tcBorders>
              <w:top w:val="nil"/>
              <w:left w:val="nil"/>
              <w:bottom w:val="nil"/>
              <w:right w:val="nil"/>
            </w:tcBorders>
            <w:shd w:val="clear" w:color="000000" w:fill="003366"/>
            <w:vAlign w:val="bottom"/>
            <w:hideMark/>
          </w:tcPr>
          <w:p w:rsidR="00516EC8" w:rsidRPr="002F4991" w:rsidRDefault="00516EC8" w:rsidP="00516EC8">
            <w:pPr>
              <w:rPr>
                <w:rFonts w:ascii="Arial Narrow" w:hAnsi="Arial Narrow"/>
                <w:b/>
                <w:bCs/>
                <w:sz w:val="18"/>
                <w:szCs w:val="18"/>
              </w:rPr>
            </w:pPr>
          </w:p>
        </w:tc>
        <w:tc>
          <w:tcPr>
            <w:tcW w:w="856" w:type="dxa"/>
            <w:tcBorders>
              <w:top w:val="nil"/>
              <w:left w:val="nil"/>
              <w:bottom w:val="nil"/>
              <w:right w:val="nil"/>
            </w:tcBorders>
            <w:shd w:val="clear" w:color="000000" w:fill="003366"/>
            <w:vAlign w:val="bottom"/>
            <w:hideMark/>
          </w:tcPr>
          <w:p w:rsidR="00516EC8" w:rsidRPr="002F4991" w:rsidRDefault="00516EC8" w:rsidP="00516EC8">
            <w:pPr>
              <w:rPr>
                <w:rFonts w:ascii="Arial Narrow" w:hAnsi="Arial Narrow"/>
                <w:b/>
                <w:bCs/>
                <w:sz w:val="18"/>
                <w:szCs w:val="18"/>
              </w:rPr>
            </w:pPr>
          </w:p>
        </w:tc>
        <w:tc>
          <w:tcPr>
            <w:tcW w:w="222" w:type="dxa"/>
            <w:tcBorders>
              <w:top w:val="nil"/>
              <w:left w:val="nil"/>
              <w:bottom w:val="nil"/>
              <w:right w:val="nil"/>
            </w:tcBorders>
            <w:shd w:val="clear" w:color="auto" w:fill="auto"/>
            <w:hideMark/>
          </w:tcPr>
          <w:p w:rsidR="00516EC8" w:rsidRPr="002F4991" w:rsidRDefault="00516EC8" w:rsidP="00516EC8">
            <w:pPr>
              <w:rPr>
                <w:rFonts w:ascii="Arial Narrow" w:hAnsi="Arial Narrow"/>
                <w:sz w:val="18"/>
                <w:szCs w:val="18"/>
              </w:rPr>
            </w:pPr>
          </w:p>
        </w:tc>
        <w:tc>
          <w:tcPr>
            <w:tcW w:w="1125" w:type="dxa"/>
            <w:vMerge w:val="restart"/>
            <w:tcBorders>
              <w:top w:val="nil"/>
              <w:left w:val="nil"/>
              <w:bottom w:val="nil"/>
              <w:right w:val="nil"/>
            </w:tcBorders>
            <w:shd w:val="clear" w:color="000000" w:fill="008080"/>
            <w:vAlign w:val="center"/>
            <w:hideMark/>
          </w:tcPr>
          <w:p w:rsidR="00516EC8" w:rsidRPr="002F4991" w:rsidRDefault="00516EC8" w:rsidP="00516EC8">
            <w:pPr>
              <w:rPr>
                <w:rFonts w:ascii="Arial Narrow" w:hAnsi="Arial Narrow"/>
                <w:b/>
                <w:bCs/>
                <w:sz w:val="18"/>
                <w:szCs w:val="18"/>
              </w:rPr>
            </w:pPr>
          </w:p>
        </w:tc>
        <w:tc>
          <w:tcPr>
            <w:tcW w:w="1352" w:type="dxa"/>
            <w:gridSpan w:val="2"/>
            <w:tcBorders>
              <w:top w:val="nil"/>
              <w:left w:val="nil"/>
              <w:bottom w:val="nil"/>
              <w:right w:val="nil"/>
            </w:tcBorders>
            <w:shd w:val="clear" w:color="000000" w:fill="003366"/>
            <w:vAlign w:val="bottom"/>
            <w:hideMark/>
          </w:tcPr>
          <w:p w:rsidR="00516EC8" w:rsidRPr="002F4991" w:rsidRDefault="00516EC8" w:rsidP="00516EC8">
            <w:pPr>
              <w:rPr>
                <w:rFonts w:ascii="Arial Narrow" w:hAnsi="Arial Narrow"/>
                <w:b/>
                <w:bCs/>
                <w:sz w:val="18"/>
                <w:szCs w:val="18"/>
              </w:rPr>
            </w:pPr>
          </w:p>
        </w:tc>
        <w:tc>
          <w:tcPr>
            <w:tcW w:w="856" w:type="dxa"/>
            <w:tcBorders>
              <w:top w:val="nil"/>
              <w:left w:val="nil"/>
              <w:bottom w:val="nil"/>
              <w:right w:val="nil"/>
            </w:tcBorders>
            <w:shd w:val="clear" w:color="000000" w:fill="003366"/>
            <w:vAlign w:val="bottom"/>
            <w:hideMark/>
          </w:tcPr>
          <w:p w:rsidR="00516EC8" w:rsidRPr="002F4991" w:rsidRDefault="00516EC8" w:rsidP="00516EC8">
            <w:pPr>
              <w:rPr>
                <w:rFonts w:ascii="Arial Narrow" w:hAnsi="Arial Narrow"/>
                <w:b/>
                <w:bCs/>
                <w:sz w:val="18"/>
                <w:szCs w:val="18"/>
              </w:rPr>
            </w:pPr>
          </w:p>
        </w:tc>
      </w:tr>
      <w:tr w:rsidR="00516EC8" w:rsidRPr="002F4991" w:rsidTr="00516EC8">
        <w:trPr>
          <w:trHeight w:val="240"/>
          <w:tblHeader/>
        </w:trPr>
        <w:tc>
          <w:tcPr>
            <w:tcW w:w="1082" w:type="dxa"/>
            <w:vMerge/>
            <w:tcBorders>
              <w:top w:val="nil"/>
              <w:left w:val="single" w:sz="8" w:space="0" w:color="808080"/>
              <w:bottom w:val="nil"/>
              <w:right w:val="nil"/>
            </w:tcBorders>
            <w:vAlign w:val="center"/>
            <w:hideMark/>
          </w:tcPr>
          <w:p w:rsidR="00516EC8" w:rsidRPr="002F4991" w:rsidRDefault="00516EC8" w:rsidP="00516EC8">
            <w:pPr>
              <w:rPr>
                <w:rFonts w:ascii="Arial Narrow" w:hAnsi="Arial Narrow"/>
                <w:b/>
                <w:bCs/>
                <w:sz w:val="18"/>
                <w:szCs w:val="18"/>
              </w:rPr>
            </w:pPr>
          </w:p>
        </w:tc>
        <w:tc>
          <w:tcPr>
            <w:tcW w:w="561" w:type="dxa"/>
            <w:tcBorders>
              <w:top w:val="nil"/>
              <w:left w:val="nil"/>
              <w:bottom w:val="nil"/>
              <w:right w:val="nil"/>
            </w:tcBorders>
            <w:shd w:val="clear" w:color="000000" w:fill="003366"/>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Rank</w:t>
            </w:r>
          </w:p>
        </w:tc>
        <w:tc>
          <w:tcPr>
            <w:tcW w:w="766" w:type="dxa"/>
            <w:tcBorders>
              <w:top w:val="nil"/>
              <w:left w:val="nil"/>
              <w:bottom w:val="nil"/>
              <w:right w:val="nil"/>
            </w:tcBorders>
            <w:shd w:val="clear" w:color="000000" w:fill="003366"/>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Score</w:t>
            </w:r>
          </w:p>
        </w:tc>
        <w:tc>
          <w:tcPr>
            <w:tcW w:w="867" w:type="dxa"/>
            <w:tcBorders>
              <w:top w:val="nil"/>
              <w:left w:val="nil"/>
              <w:bottom w:val="nil"/>
              <w:right w:val="nil"/>
            </w:tcBorders>
            <w:shd w:val="clear" w:color="000000" w:fill="003366"/>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 of highest performer</w:t>
            </w:r>
          </w:p>
        </w:tc>
        <w:tc>
          <w:tcPr>
            <w:tcW w:w="222" w:type="dxa"/>
            <w:tcBorders>
              <w:top w:val="nil"/>
              <w:left w:val="nil"/>
              <w:bottom w:val="nil"/>
              <w:right w:val="nil"/>
            </w:tcBorders>
            <w:shd w:val="clear" w:color="auto" w:fill="auto"/>
            <w:vAlign w:val="bottom"/>
            <w:hideMark/>
          </w:tcPr>
          <w:p w:rsidR="00516EC8" w:rsidRPr="002F4991" w:rsidRDefault="00516EC8" w:rsidP="00516EC8">
            <w:pPr>
              <w:rPr>
                <w:rFonts w:ascii="Arial Narrow" w:hAnsi="Arial Narrow"/>
                <w:b/>
                <w:bCs/>
                <w:sz w:val="18"/>
                <w:szCs w:val="18"/>
              </w:rPr>
            </w:pPr>
          </w:p>
        </w:tc>
        <w:tc>
          <w:tcPr>
            <w:tcW w:w="1154" w:type="dxa"/>
            <w:vMerge/>
            <w:tcBorders>
              <w:top w:val="nil"/>
              <w:left w:val="nil"/>
              <w:bottom w:val="nil"/>
              <w:right w:val="nil"/>
            </w:tcBorders>
            <w:vAlign w:val="center"/>
            <w:hideMark/>
          </w:tcPr>
          <w:p w:rsidR="00516EC8" w:rsidRPr="002F4991" w:rsidRDefault="00516EC8" w:rsidP="00516EC8">
            <w:pPr>
              <w:rPr>
                <w:rFonts w:ascii="Arial Narrow" w:hAnsi="Arial Narrow"/>
                <w:b/>
                <w:bCs/>
                <w:sz w:val="18"/>
                <w:szCs w:val="18"/>
              </w:rPr>
            </w:pPr>
          </w:p>
        </w:tc>
        <w:tc>
          <w:tcPr>
            <w:tcW w:w="561" w:type="dxa"/>
            <w:tcBorders>
              <w:top w:val="nil"/>
              <w:left w:val="nil"/>
              <w:bottom w:val="nil"/>
              <w:right w:val="nil"/>
            </w:tcBorders>
            <w:shd w:val="clear" w:color="000000" w:fill="003366"/>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Rank</w:t>
            </w:r>
          </w:p>
        </w:tc>
        <w:tc>
          <w:tcPr>
            <w:tcW w:w="606" w:type="dxa"/>
            <w:tcBorders>
              <w:top w:val="nil"/>
              <w:left w:val="nil"/>
              <w:bottom w:val="nil"/>
              <w:right w:val="nil"/>
            </w:tcBorders>
            <w:shd w:val="clear" w:color="000000" w:fill="003366"/>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Score</w:t>
            </w:r>
          </w:p>
        </w:tc>
        <w:tc>
          <w:tcPr>
            <w:tcW w:w="856" w:type="dxa"/>
            <w:tcBorders>
              <w:top w:val="nil"/>
              <w:left w:val="nil"/>
              <w:bottom w:val="nil"/>
              <w:right w:val="nil"/>
            </w:tcBorders>
            <w:shd w:val="clear" w:color="000000" w:fill="003366"/>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 of highest performer</w:t>
            </w:r>
          </w:p>
        </w:tc>
        <w:tc>
          <w:tcPr>
            <w:tcW w:w="222" w:type="dxa"/>
            <w:tcBorders>
              <w:top w:val="nil"/>
              <w:left w:val="nil"/>
              <w:bottom w:val="nil"/>
              <w:right w:val="nil"/>
            </w:tcBorders>
            <w:shd w:val="clear" w:color="auto" w:fill="auto"/>
            <w:hideMark/>
          </w:tcPr>
          <w:p w:rsidR="00516EC8" w:rsidRPr="002F4991" w:rsidRDefault="00516EC8" w:rsidP="00516EC8">
            <w:pPr>
              <w:rPr>
                <w:rFonts w:ascii="Arial Narrow" w:hAnsi="Arial Narrow"/>
                <w:b/>
                <w:bCs/>
                <w:sz w:val="18"/>
                <w:szCs w:val="18"/>
              </w:rPr>
            </w:pPr>
          </w:p>
        </w:tc>
        <w:tc>
          <w:tcPr>
            <w:tcW w:w="1125" w:type="dxa"/>
            <w:vMerge/>
            <w:tcBorders>
              <w:top w:val="nil"/>
              <w:left w:val="nil"/>
              <w:bottom w:val="nil"/>
              <w:right w:val="nil"/>
            </w:tcBorders>
            <w:vAlign w:val="center"/>
            <w:hideMark/>
          </w:tcPr>
          <w:p w:rsidR="00516EC8" w:rsidRPr="002F4991" w:rsidRDefault="00516EC8" w:rsidP="00516EC8">
            <w:pPr>
              <w:rPr>
                <w:rFonts w:ascii="Arial Narrow" w:hAnsi="Arial Narrow"/>
                <w:b/>
                <w:bCs/>
                <w:sz w:val="18"/>
                <w:szCs w:val="18"/>
              </w:rPr>
            </w:pPr>
          </w:p>
        </w:tc>
        <w:tc>
          <w:tcPr>
            <w:tcW w:w="561" w:type="dxa"/>
            <w:tcBorders>
              <w:top w:val="nil"/>
              <w:left w:val="nil"/>
              <w:bottom w:val="nil"/>
              <w:right w:val="nil"/>
            </w:tcBorders>
            <w:shd w:val="clear" w:color="000000" w:fill="003366"/>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Rank</w:t>
            </w:r>
          </w:p>
        </w:tc>
        <w:tc>
          <w:tcPr>
            <w:tcW w:w="791" w:type="dxa"/>
            <w:tcBorders>
              <w:top w:val="nil"/>
              <w:left w:val="nil"/>
              <w:bottom w:val="nil"/>
              <w:right w:val="nil"/>
            </w:tcBorders>
            <w:shd w:val="clear" w:color="000000" w:fill="003366"/>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Score</w:t>
            </w:r>
          </w:p>
        </w:tc>
        <w:tc>
          <w:tcPr>
            <w:tcW w:w="856" w:type="dxa"/>
            <w:tcBorders>
              <w:top w:val="nil"/>
              <w:left w:val="nil"/>
              <w:bottom w:val="nil"/>
              <w:right w:val="nil"/>
            </w:tcBorders>
            <w:shd w:val="clear" w:color="000000" w:fill="003366"/>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 of highest performer</w:t>
            </w:r>
          </w:p>
        </w:tc>
      </w:tr>
      <w:tr w:rsidR="00516EC8" w:rsidRPr="002F4991" w:rsidTr="00516EC8">
        <w:trPr>
          <w:trHeight w:val="240"/>
        </w:trPr>
        <w:tc>
          <w:tcPr>
            <w:tcW w:w="108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lastRenderedPageBreak/>
              <w:t>Singapore</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w:t>
            </w:r>
          </w:p>
        </w:tc>
        <w:tc>
          <w:tcPr>
            <w:tcW w:w="76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4.13</w:t>
            </w:r>
          </w:p>
        </w:tc>
        <w:tc>
          <w:tcPr>
            <w:tcW w:w="867"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100.0</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Uruguay</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56</w:t>
            </w:r>
          </w:p>
        </w:tc>
        <w:tc>
          <w:tcPr>
            <w:tcW w:w="60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2.98</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63.5</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Venezuela, RB</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111</w:t>
            </w:r>
          </w:p>
        </w:tc>
        <w:tc>
          <w:tcPr>
            <w:tcW w:w="79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2.49</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47.7</w:t>
            </w:r>
          </w:p>
        </w:tc>
      </w:tr>
      <w:tr w:rsidR="00516EC8" w:rsidRPr="002F4991" w:rsidTr="00516EC8">
        <w:trPr>
          <w:trHeight w:val="240"/>
        </w:trPr>
        <w:tc>
          <w:tcPr>
            <w:tcW w:w="108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Hong Kong</w:t>
            </w:r>
            <w:r>
              <w:rPr>
                <w:rFonts w:ascii="Arial Narrow" w:hAnsi="Arial Narrow"/>
                <w:sz w:val="18"/>
                <w:szCs w:val="18"/>
              </w:rPr>
              <w:t xml:space="preserve"> SAR</w:t>
            </w:r>
            <w:r w:rsidRPr="002F4991">
              <w:rPr>
                <w:rFonts w:ascii="Arial Narrow" w:hAnsi="Arial Narrow"/>
                <w:sz w:val="18"/>
                <w:szCs w:val="18"/>
              </w:rPr>
              <w:t>, China</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w:t>
            </w:r>
          </w:p>
        </w:tc>
        <w:tc>
          <w:tcPr>
            <w:tcW w:w="76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4.12</w:t>
            </w:r>
          </w:p>
        </w:tc>
        <w:tc>
          <w:tcPr>
            <w:tcW w:w="867"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99.9</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Egypt, Arab Rep.</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57</w:t>
            </w:r>
          </w:p>
        </w:tc>
        <w:tc>
          <w:tcPr>
            <w:tcW w:w="60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2.98</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63.3</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Iran, Islamic Rep.</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112</w:t>
            </w:r>
          </w:p>
        </w:tc>
        <w:tc>
          <w:tcPr>
            <w:tcW w:w="79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2.49</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47.6</w:t>
            </w:r>
          </w:p>
        </w:tc>
      </w:tr>
      <w:tr w:rsidR="00516EC8" w:rsidRPr="002F4991" w:rsidTr="00516EC8">
        <w:trPr>
          <w:trHeight w:val="240"/>
        </w:trPr>
        <w:tc>
          <w:tcPr>
            <w:tcW w:w="108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Finland</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w:t>
            </w:r>
          </w:p>
        </w:tc>
        <w:tc>
          <w:tcPr>
            <w:tcW w:w="76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4.05</w:t>
            </w:r>
          </w:p>
        </w:tc>
        <w:tc>
          <w:tcPr>
            <w:tcW w:w="867"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97.6</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Lithuania</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58</w:t>
            </w:r>
          </w:p>
        </w:tc>
        <w:tc>
          <w:tcPr>
            <w:tcW w:w="60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2.95</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62.3</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Paraguay</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113</w:t>
            </w:r>
          </w:p>
        </w:tc>
        <w:tc>
          <w:tcPr>
            <w:tcW w:w="79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2.48</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47.4</w:t>
            </w:r>
          </w:p>
        </w:tc>
      </w:tr>
      <w:tr w:rsidR="00516EC8" w:rsidRPr="002F4991" w:rsidTr="00516EC8">
        <w:trPr>
          <w:trHeight w:val="240"/>
        </w:trPr>
        <w:tc>
          <w:tcPr>
            <w:tcW w:w="108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Germany</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w:t>
            </w:r>
          </w:p>
        </w:tc>
        <w:tc>
          <w:tcPr>
            <w:tcW w:w="76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4.03</w:t>
            </w:r>
          </w:p>
        </w:tc>
        <w:tc>
          <w:tcPr>
            <w:tcW w:w="867"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97.0</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Indonesia</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59</w:t>
            </w:r>
          </w:p>
        </w:tc>
        <w:tc>
          <w:tcPr>
            <w:tcW w:w="60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2.94</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62.2</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356A2E">
              <w:rPr>
                <w:rFonts w:ascii="Arial Narrow" w:hAnsi="Arial Narrow"/>
                <w:sz w:val="18"/>
                <w:szCs w:val="18"/>
              </w:rPr>
              <w:t>São Tomé</w:t>
            </w:r>
            <w:r w:rsidRPr="00356A2E" w:rsidDel="00356A2E">
              <w:rPr>
                <w:rFonts w:ascii="Arial Narrow" w:hAnsi="Arial Narrow"/>
                <w:sz w:val="18"/>
                <w:szCs w:val="18"/>
              </w:rPr>
              <w:t xml:space="preserve"> </w:t>
            </w:r>
            <w:r w:rsidRPr="002F4991">
              <w:rPr>
                <w:rFonts w:ascii="Arial Narrow" w:hAnsi="Arial Narrow"/>
                <w:sz w:val="18"/>
                <w:szCs w:val="18"/>
              </w:rPr>
              <w:t>and Pr</w:t>
            </w:r>
            <w:r>
              <w:rPr>
                <w:rFonts w:ascii="Arial Narrow" w:hAnsi="Arial Narrow"/>
                <w:sz w:val="18"/>
                <w:szCs w:val="18"/>
              </w:rPr>
              <w:t>í</w:t>
            </w:r>
            <w:r w:rsidRPr="002F4991">
              <w:rPr>
                <w:rFonts w:ascii="Arial Narrow" w:hAnsi="Arial Narrow"/>
                <w:sz w:val="18"/>
                <w:szCs w:val="18"/>
              </w:rPr>
              <w:t>ncipe</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114</w:t>
            </w:r>
          </w:p>
        </w:tc>
        <w:tc>
          <w:tcPr>
            <w:tcW w:w="79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2.48</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47.4</w:t>
            </w:r>
          </w:p>
        </w:tc>
      </w:tr>
      <w:tr w:rsidR="00516EC8" w:rsidRPr="002F4991" w:rsidTr="00516EC8">
        <w:trPr>
          <w:trHeight w:val="240"/>
        </w:trPr>
        <w:tc>
          <w:tcPr>
            <w:tcW w:w="108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Netherlands</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w:t>
            </w:r>
          </w:p>
        </w:tc>
        <w:tc>
          <w:tcPr>
            <w:tcW w:w="76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4.02</w:t>
            </w:r>
          </w:p>
        </w:tc>
        <w:tc>
          <w:tcPr>
            <w:tcW w:w="867"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96.7</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Peru</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60</w:t>
            </w:r>
          </w:p>
        </w:tc>
        <w:tc>
          <w:tcPr>
            <w:tcW w:w="60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2.94</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61.9</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Guinea</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115</w:t>
            </w:r>
          </w:p>
        </w:tc>
        <w:tc>
          <w:tcPr>
            <w:tcW w:w="79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2.48</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47.4</w:t>
            </w:r>
          </w:p>
        </w:tc>
      </w:tr>
      <w:tr w:rsidR="00516EC8" w:rsidRPr="002F4991" w:rsidTr="00516EC8">
        <w:trPr>
          <w:trHeight w:val="240"/>
        </w:trPr>
        <w:tc>
          <w:tcPr>
            <w:tcW w:w="108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Denmark</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6</w:t>
            </w:r>
          </w:p>
        </w:tc>
        <w:tc>
          <w:tcPr>
            <w:tcW w:w="76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4.02</w:t>
            </w:r>
          </w:p>
        </w:tc>
        <w:tc>
          <w:tcPr>
            <w:tcW w:w="867"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96.6</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Panama</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61</w:t>
            </w:r>
          </w:p>
        </w:tc>
        <w:tc>
          <w:tcPr>
            <w:tcW w:w="60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2.93</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61.6</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Azerbaijan</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116</w:t>
            </w:r>
          </w:p>
        </w:tc>
        <w:tc>
          <w:tcPr>
            <w:tcW w:w="79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2.48</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47.4</w:t>
            </w:r>
          </w:p>
        </w:tc>
      </w:tr>
      <w:tr w:rsidR="00516EC8" w:rsidRPr="002F4991" w:rsidTr="00516EC8">
        <w:trPr>
          <w:trHeight w:val="240"/>
        </w:trPr>
        <w:tc>
          <w:tcPr>
            <w:tcW w:w="108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Belgium</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7</w:t>
            </w:r>
          </w:p>
        </w:tc>
        <w:tc>
          <w:tcPr>
            <w:tcW w:w="76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3.98</w:t>
            </w:r>
          </w:p>
        </w:tc>
        <w:tc>
          <w:tcPr>
            <w:tcW w:w="867"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95.3</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Oman</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62</w:t>
            </w:r>
          </w:p>
        </w:tc>
        <w:tc>
          <w:tcPr>
            <w:tcW w:w="60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2.89</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60.4</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Uzbekistan</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117</w:t>
            </w:r>
          </w:p>
        </w:tc>
        <w:tc>
          <w:tcPr>
            <w:tcW w:w="79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2.46</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46.9</w:t>
            </w:r>
          </w:p>
        </w:tc>
      </w:tr>
      <w:tr w:rsidR="00516EC8" w:rsidRPr="002F4991" w:rsidTr="00516EC8">
        <w:trPr>
          <w:trHeight w:val="240"/>
        </w:trPr>
        <w:tc>
          <w:tcPr>
            <w:tcW w:w="108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Japan</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8</w:t>
            </w:r>
          </w:p>
        </w:tc>
        <w:tc>
          <w:tcPr>
            <w:tcW w:w="76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3.93</w:t>
            </w:r>
          </w:p>
        </w:tc>
        <w:tc>
          <w:tcPr>
            <w:tcW w:w="867"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93.8</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Yemen, Rep.</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63</w:t>
            </w:r>
          </w:p>
        </w:tc>
        <w:tc>
          <w:tcPr>
            <w:tcW w:w="60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2.89</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60.3</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Gambia, The</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118</w:t>
            </w:r>
          </w:p>
        </w:tc>
        <w:tc>
          <w:tcPr>
            <w:tcW w:w="79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2.46</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46.8</w:t>
            </w:r>
          </w:p>
        </w:tc>
      </w:tr>
      <w:tr w:rsidR="00516EC8" w:rsidRPr="002F4991" w:rsidTr="00516EC8">
        <w:trPr>
          <w:trHeight w:val="240"/>
        </w:trPr>
        <w:tc>
          <w:tcPr>
            <w:tcW w:w="108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United States</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9</w:t>
            </w:r>
          </w:p>
        </w:tc>
        <w:tc>
          <w:tcPr>
            <w:tcW w:w="76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3.93</w:t>
            </w:r>
          </w:p>
        </w:tc>
        <w:tc>
          <w:tcPr>
            <w:tcW w:w="867"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93.7</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Colombia</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64</w:t>
            </w:r>
          </w:p>
        </w:tc>
        <w:tc>
          <w:tcPr>
            <w:tcW w:w="60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2.87</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59.8</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Liberia</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119</w:t>
            </w:r>
          </w:p>
        </w:tc>
        <w:tc>
          <w:tcPr>
            <w:tcW w:w="79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2.45</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46.3</w:t>
            </w:r>
          </w:p>
        </w:tc>
      </w:tr>
      <w:tr w:rsidR="00516EC8" w:rsidRPr="002F4991" w:rsidTr="00516EC8">
        <w:trPr>
          <w:trHeight w:val="240"/>
        </w:trPr>
        <w:tc>
          <w:tcPr>
            <w:tcW w:w="108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United Kingdom</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10</w:t>
            </w:r>
          </w:p>
        </w:tc>
        <w:tc>
          <w:tcPr>
            <w:tcW w:w="76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3.90</w:t>
            </w:r>
          </w:p>
        </w:tc>
        <w:tc>
          <w:tcPr>
            <w:tcW w:w="867"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92.7</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Estonia</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65</w:t>
            </w:r>
          </w:p>
        </w:tc>
        <w:tc>
          <w:tcPr>
            <w:tcW w:w="60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2.86</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59.5</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Montenegro</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120</w:t>
            </w:r>
          </w:p>
        </w:tc>
        <w:tc>
          <w:tcPr>
            <w:tcW w:w="79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2.45</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46.3</w:t>
            </w:r>
          </w:p>
        </w:tc>
      </w:tr>
      <w:tr w:rsidR="00516EC8" w:rsidRPr="002F4991" w:rsidTr="00516EC8">
        <w:trPr>
          <w:trHeight w:val="240"/>
        </w:trPr>
        <w:tc>
          <w:tcPr>
            <w:tcW w:w="108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Austria</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11</w:t>
            </w:r>
          </w:p>
        </w:tc>
        <w:tc>
          <w:tcPr>
            <w:tcW w:w="76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3.89</w:t>
            </w:r>
          </w:p>
        </w:tc>
        <w:tc>
          <w:tcPr>
            <w:tcW w:w="867"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92.5</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Ukraine</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66</w:t>
            </w:r>
          </w:p>
        </w:tc>
        <w:tc>
          <w:tcPr>
            <w:tcW w:w="60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2.85</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59.3</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Nigeria</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121</w:t>
            </w:r>
          </w:p>
        </w:tc>
        <w:tc>
          <w:tcPr>
            <w:tcW w:w="79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2.45</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46.3</w:t>
            </w:r>
          </w:p>
        </w:tc>
      </w:tr>
      <w:tr w:rsidR="00516EC8" w:rsidRPr="002F4991" w:rsidTr="00516EC8">
        <w:trPr>
          <w:trHeight w:val="240"/>
        </w:trPr>
        <w:tc>
          <w:tcPr>
            <w:tcW w:w="108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France</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12</w:t>
            </w:r>
          </w:p>
        </w:tc>
        <w:tc>
          <w:tcPr>
            <w:tcW w:w="76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3.85</w:t>
            </w:r>
          </w:p>
        </w:tc>
        <w:tc>
          <w:tcPr>
            <w:tcW w:w="867"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91.2</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Benin</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67</w:t>
            </w:r>
          </w:p>
        </w:tc>
        <w:tc>
          <w:tcPr>
            <w:tcW w:w="60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2.85</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59.3</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Kenya</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122</w:t>
            </w:r>
          </w:p>
        </w:tc>
        <w:tc>
          <w:tcPr>
            <w:tcW w:w="79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2.43</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45.9</w:t>
            </w:r>
          </w:p>
        </w:tc>
      </w:tr>
      <w:tr w:rsidR="00516EC8" w:rsidRPr="002F4991" w:rsidTr="00516EC8">
        <w:trPr>
          <w:trHeight w:val="240"/>
        </w:trPr>
        <w:tc>
          <w:tcPr>
            <w:tcW w:w="108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Sweden</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13</w:t>
            </w:r>
          </w:p>
        </w:tc>
        <w:tc>
          <w:tcPr>
            <w:tcW w:w="76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3.85</w:t>
            </w:r>
          </w:p>
        </w:tc>
        <w:tc>
          <w:tcPr>
            <w:tcW w:w="867"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91.2</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Botswana</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68</w:t>
            </w:r>
          </w:p>
        </w:tc>
        <w:tc>
          <w:tcPr>
            <w:tcW w:w="60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2.84</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58.9</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Fiji</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123</w:t>
            </w:r>
          </w:p>
        </w:tc>
        <w:tc>
          <w:tcPr>
            <w:tcW w:w="79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2.42</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45.4</w:t>
            </w:r>
          </w:p>
        </w:tc>
      </w:tr>
      <w:tr w:rsidR="00516EC8" w:rsidRPr="002F4991" w:rsidTr="00516EC8">
        <w:trPr>
          <w:trHeight w:val="240"/>
        </w:trPr>
        <w:tc>
          <w:tcPr>
            <w:tcW w:w="108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Canada</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14</w:t>
            </w:r>
          </w:p>
        </w:tc>
        <w:tc>
          <w:tcPr>
            <w:tcW w:w="76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3.85</w:t>
            </w:r>
          </w:p>
        </w:tc>
        <w:tc>
          <w:tcPr>
            <w:tcW w:w="867"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91.1</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Greece</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69</w:t>
            </w:r>
          </w:p>
        </w:tc>
        <w:tc>
          <w:tcPr>
            <w:tcW w:w="60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2.83</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58.6</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Jamaica</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124</w:t>
            </w:r>
          </w:p>
        </w:tc>
        <w:tc>
          <w:tcPr>
            <w:tcW w:w="79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2.42</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45.3</w:t>
            </w:r>
          </w:p>
        </w:tc>
      </w:tr>
      <w:tr w:rsidR="00516EC8" w:rsidRPr="002F4991" w:rsidTr="00516EC8">
        <w:trPr>
          <w:trHeight w:val="240"/>
        </w:trPr>
        <w:tc>
          <w:tcPr>
            <w:tcW w:w="108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Luxembourg</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15</w:t>
            </w:r>
          </w:p>
        </w:tc>
        <w:tc>
          <w:tcPr>
            <w:tcW w:w="76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3.82</w:t>
            </w:r>
          </w:p>
        </w:tc>
        <w:tc>
          <w:tcPr>
            <w:tcW w:w="867"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90.3</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Kuwait</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70</w:t>
            </w:r>
          </w:p>
        </w:tc>
        <w:tc>
          <w:tcPr>
            <w:tcW w:w="60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2.83</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58.5</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Algeria</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125</w:t>
            </w:r>
          </w:p>
        </w:tc>
        <w:tc>
          <w:tcPr>
            <w:tcW w:w="79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2.41</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45.3</w:t>
            </w:r>
          </w:p>
        </w:tc>
      </w:tr>
      <w:tr w:rsidR="00516EC8" w:rsidRPr="002F4991" w:rsidTr="00516EC8">
        <w:trPr>
          <w:trHeight w:val="240"/>
        </w:trPr>
        <w:tc>
          <w:tcPr>
            <w:tcW w:w="108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Switzerland</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16</w:t>
            </w:r>
          </w:p>
        </w:tc>
        <w:tc>
          <w:tcPr>
            <w:tcW w:w="76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3.80</w:t>
            </w:r>
          </w:p>
        </w:tc>
        <w:tc>
          <w:tcPr>
            <w:tcW w:w="867"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89.7</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Pakistan</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71</w:t>
            </w:r>
          </w:p>
        </w:tc>
        <w:tc>
          <w:tcPr>
            <w:tcW w:w="60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2.83</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58.4</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Solomon Islands</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126</w:t>
            </w:r>
          </w:p>
        </w:tc>
        <w:tc>
          <w:tcPr>
            <w:tcW w:w="79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2.41</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45.2</w:t>
            </w:r>
          </w:p>
        </w:tc>
      </w:tr>
      <w:tr w:rsidR="00516EC8" w:rsidRPr="002F4991" w:rsidTr="00516EC8">
        <w:trPr>
          <w:trHeight w:val="240"/>
        </w:trPr>
        <w:tc>
          <w:tcPr>
            <w:tcW w:w="108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United Arab Emirates</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17</w:t>
            </w:r>
          </w:p>
        </w:tc>
        <w:tc>
          <w:tcPr>
            <w:tcW w:w="76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3.78</w:t>
            </w:r>
          </w:p>
        </w:tc>
        <w:tc>
          <w:tcPr>
            <w:tcW w:w="867"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88.9</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Mauritius</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72</w:t>
            </w:r>
          </w:p>
        </w:tc>
        <w:tc>
          <w:tcPr>
            <w:tcW w:w="60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2.82</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58.2</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Mauritania</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127</w:t>
            </w:r>
          </w:p>
        </w:tc>
        <w:tc>
          <w:tcPr>
            <w:tcW w:w="79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2.40</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44.7</w:t>
            </w:r>
          </w:p>
        </w:tc>
      </w:tr>
      <w:tr w:rsidR="00516EC8" w:rsidRPr="002F4991" w:rsidTr="00516EC8">
        <w:trPr>
          <w:trHeight w:val="240"/>
        </w:trPr>
        <w:tc>
          <w:tcPr>
            <w:tcW w:w="108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Australia</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18</w:t>
            </w:r>
          </w:p>
        </w:tc>
        <w:tc>
          <w:tcPr>
            <w:tcW w:w="76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3.73</w:t>
            </w:r>
          </w:p>
        </w:tc>
        <w:tc>
          <w:tcPr>
            <w:tcW w:w="867"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87.2</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Malawi</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73</w:t>
            </w:r>
          </w:p>
        </w:tc>
        <w:tc>
          <w:tcPr>
            <w:tcW w:w="60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2.81</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57.8</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Papua New Guinea</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128</w:t>
            </w:r>
          </w:p>
        </w:tc>
        <w:tc>
          <w:tcPr>
            <w:tcW w:w="79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2.38</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44.0</w:t>
            </w:r>
          </w:p>
        </w:tc>
      </w:tr>
      <w:tr w:rsidR="00516EC8" w:rsidRPr="002F4991" w:rsidTr="00516EC8">
        <w:trPr>
          <w:trHeight w:val="240"/>
        </w:trPr>
        <w:tc>
          <w:tcPr>
            <w:tcW w:w="108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Taiwan</w:t>
            </w:r>
            <w:r>
              <w:rPr>
                <w:rFonts w:ascii="Arial Narrow" w:hAnsi="Arial Narrow"/>
                <w:sz w:val="18"/>
                <w:szCs w:val="18"/>
              </w:rPr>
              <w:t>, China</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19</w:t>
            </w:r>
          </w:p>
        </w:tc>
        <w:tc>
          <w:tcPr>
            <w:tcW w:w="76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3.71</w:t>
            </w:r>
          </w:p>
        </w:tc>
        <w:tc>
          <w:tcPr>
            <w:tcW w:w="867"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86.6</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Guatemala</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74</w:t>
            </w:r>
          </w:p>
        </w:tc>
        <w:tc>
          <w:tcPr>
            <w:tcW w:w="60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2.80</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57.7</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Myanmar</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129</w:t>
            </w:r>
          </w:p>
        </w:tc>
        <w:tc>
          <w:tcPr>
            <w:tcW w:w="79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2.37</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43.8</w:t>
            </w:r>
          </w:p>
        </w:tc>
      </w:tr>
      <w:tr w:rsidR="00516EC8" w:rsidRPr="002F4991" w:rsidTr="00516EC8">
        <w:trPr>
          <w:trHeight w:val="240"/>
        </w:trPr>
        <w:tc>
          <w:tcPr>
            <w:tcW w:w="108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Spain</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20</w:t>
            </w:r>
          </w:p>
        </w:tc>
        <w:tc>
          <w:tcPr>
            <w:tcW w:w="76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3.70</w:t>
            </w:r>
          </w:p>
        </w:tc>
        <w:tc>
          <w:tcPr>
            <w:tcW w:w="867"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86.4</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Serbia</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75</w:t>
            </w:r>
          </w:p>
        </w:tc>
        <w:tc>
          <w:tcPr>
            <w:tcW w:w="60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2.80</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57.6</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Kyrgyz Republic</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130</w:t>
            </w:r>
          </w:p>
        </w:tc>
        <w:tc>
          <w:tcPr>
            <w:tcW w:w="79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2.35</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43.3</w:t>
            </w:r>
          </w:p>
        </w:tc>
      </w:tr>
      <w:tr w:rsidR="00516EC8" w:rsidRPr="002F4991" w:rsidTr="00516EC8">
        <w:trPr>
          <w:trHeight w:val="240"/>
        </w:trPr>
        <w:tc>
          <w:tcPr>
            <w:tcW w:w="108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Korea, Rep.</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21</w:t>
            </w:r>
          </w:p>
        </w:tc>
        <w:tc>
          <w:tcPr>
            <w:tcW w:w="76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3.70</w:t>
            </w:r>
          </w:p>
        </w:tc>
        <w:tc>
          <w:tcPr>
            <w:tcW w:w="867"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86.2</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Latvia</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76</w:t>
            </w:r>
          </w:p>
        </w:tc>
        <w:tc>
          <w:tcPr>
            <w:tcW w:w="60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2.78</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56.9</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Gabon</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131</w:t>
            </w:r>
          </w:p>
        </w:tc>
        <w:tc>
          <w:tcPr>
            <w:tcW w:w="79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2.34</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43.0</w:t>
            </w:r>
          </w:p>
        </w:tc>
      </w:tr>
      <w:tr w:rsidR="00516EC8" w:rsidRPr="002F4991" w:rsidTr="00516EC8">
        <w:trPr>
          <w:trHeight w:val="240"/>
        </w:trPr>
        <w:tc>
          <w:tcPr>
            <w:tcW w:w="108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Norway</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22</w:t>
            </w:r>
          </w:p>
        </w:tc>
        <w:tc>
          <w:tcPr>
            <w:tcW w:w="76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3.68</w:t>
            </w:r>
          </w:p>
        </w:tc>
        <w:tc>
          <w:tcPr>
            <w:tcW w:w="867"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85.9</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Georgia</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77</w:t>
            </w:r>
          </w:p>
        </w:tc>
        <w:tc>
          <w:tcPr>
            <w:tcW w:w="60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2.77</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56.8</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Moldova</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132</w:t>
            </w:r>
          </w:p>
        </w:tc>
        <w:tc>
          <w:tcPr>
            <w:tcW w:w="79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2.33</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42.6</w:t>
            </w:r>
          </w:p>
        </w:tc>
      </w:tr>
      <w:tr w:rsidR="00516EC8" w:rsidRPr="002F4991" w:rsidTr="00516EC8">
        <w:trPr>
          <w:trHeight w:val="240"/>
        </w:trPr>
        <w:tc>
          <w:tcPr>
            <w:tcW w:w="108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South Africa</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23</w:t>
            </w:r>
          </w:p>
        </w:tc>
        <w:tc>
          <w:tcPr>
            <w:tcW w:w="76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3.67</w:t>
            </w:r>
          </w:p>
        </w:tc>
        <w:tc>
          <w:tcPr>
            <w:tcW w:w="867"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85.5</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Albania</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78</w:t>
            </w:r>
          </w:p>
        </w:tc>
        <w:tc>
          <w:tcPr>
            <w:tcW w:w="60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2.77</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56.7</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Guyana</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133</w:t>
            </w:r>
          </w:p>
        </w:tc>
        <w:tc>
          <w:tcPr>
            <w:tcW w:w="79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2.33</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42.5</w:t>
            </w:r>
          </w:p>
        </w:tc>
      </w:tr>
      <w:tr w:rsidR="00516EC8" w:rsidRPr="002F4991" w:rsidTr="00516EC8">
        <w:trPr>
          <w:trHeight w:val="240"/>
        </w:trPr>
        <w:tc>
          <w:tcPr>
            <w:tcW w:w="108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Italy</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24</w:t>
            </w:r>
          </w:p>
        </w:tc>
        <w:tc>
          <w:tcPr>
            <w:tcW w:w="76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3.67</w:t>
            </w:r>
          </w:p>
        </w:tc>
        <w:tc>
          <w:tcPr>
            <w:tcW w:w="867"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85.4</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Ecuador</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79</w:t>
            </w:r>
          </w:p>
        </w:tc>
        <w:tc>
          <w:tcPr>
            <w:tcW w:w="60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2.76</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56.2</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Burkina Faso</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134</w:t>
            </w:r>
          </w:p>
        </w:tc>
        <w:tc>
          <w:tcPr>
            <w:tcW w:w="79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2.32</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42.3</w:t>
            </w:r>
          </w:p>
        </w:tc>
      </w:tr>
      <w:tr w:rsidR="00516EC8" w:rsidRPr="002F4991" w:rsidTr="00516EC8">
        <w:trPr>
          <w:trHeight w:val="240"/>
        </w:trPr>
        <w:tc>
          <w:tcPr>
            <w:tcW w:w="108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Ireland</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25</w:t>
            </w:r>
          </w:p>
        </w:tc>
        <w:tc>
          <w:tcPr>
            <w:tcW w:w="76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3.52</w:t>
            </w:r>
          </w:p>
        </w:tc>
        <w:tc>
          <w:tcPr>
            <w:tcW w:w="867"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80.6</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Bahamas, The</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80</w:t>
            </w:r>
          </w:p>
        </w:tc>
        <w:tc>
          <w:tcPr>
            <w:tcW w:w="60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2.75</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56.1</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Afghanistan</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135</w:t>
            </w:r>
          </w:p>
        </w:tc>
        <w:tc>
          <w:tcPr>
            <w:tcW w:w="79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2.30</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41.5</w:t>
            </w:r>
          </w:p>
        </w:tc>
      </w:tr>
      <w:tr w:rsidR="00516EC8" w:rsidRPr="002F4991" w:rsidTr="00516EC8">
        <w:trPr>
          <w:trHeight w:val="240"/>
        </w:trPr>
        <w:tc>
          <w:tcPr>
            <w:tcW w:w="108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China</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26</w:t>
            </w:r>
          </w:p>
        </w:tc>
        <w:tc>
          <w:tcPr>
            <w:tcW w:w="76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3.52</w:t>
            </w:r>
          </w:p>
        </w:tc>
        <w:tc>
          <w:tcPr>
            <w:tcW w:w="867"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80.5</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Sri Lanka</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81</w:t>
            </w:r>
          </w:p>
        </w:tc>
        <w:tc>
          <w:tcPr>
            <w:tcW w:w="60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2.75</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56.0</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Tajikistan</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136</w:t>
            </w:r>
          </w:p>
        </w:tc>
        <w:tc>
          <w:tcPr>
            <w:tcW w:w="79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2.28</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41.1</w:t>
            </w:r>
          </w:p>
        </w:tc>
      </w:tr>
      <w:tr w:rsidR="00516EC8" w:rsidRPr="002F4991" w:rsidTr="00516EC8">
        <w:trPr>
          <w:trHeight w:val="240"/>
        </w:trPr>
        <w:tc>
          <w:tcPr>
            <w:tcW w:w="108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Turkey</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27</w:t>
            </w:r>
          </w:p>
        </w:tc>
        <w:tc>
          <w:tcPr>
            <w:tcW w:w="76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3.51</w:t>
            </w:r>
          </w:p>
        </w:tc>
        <w:tc>
          <w:tcPr>
            <w:tcW w:w="867"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80.3</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Costa Rica</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82</w:t>
            </w:r>
          </w:p>
        </w:tc>
        <w:tc>
          <w:tcPr>
            <w:tcW w:w="60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2.75</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55.9</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Libya</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137</w:t>
            </w:r>
          </w:p>
        </w:tc>
        <w:tc>
          <w:tcPr>
            <w:tcW w:w="79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2.28</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41.0</w:t>
            </w:r>
          </w:p>
        </w:tc>
      </w:tr>
      <w:tr w:rsidR="00516EC8" w:rsidRPr="002F4991" w:rsidTr="00516EC8">
        <w:trPr>
          <w:trHeight w:val="240"/>
        </w:trPr>
        <w:tc>
          <w:tcPr>
            <w:tcW w:w="108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Portugal</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28</w:t>
            </w:r>
          </w:p>
        </w:tc>
        <w:tc>
          <w:tcPr>
            <w:tcW w:w="76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3.50</w:t>
            </w:r>
          </w:p>
        </w:tc>
        <w:tc>
          <w:tcPr>
            <w:tcW w:w="867"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80.1</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C</w:t>
            </w:r>
            <w:r>
              <w:rPr>
                <w:rFonts w:ascii="Arial Narrow" w:hAnsi="Arial Narrow"/>
                <w:sz w:val="18"/>
                <w:szCs w:val="18"/>
              </w:rPr>
              <w:t>ô</w:t>
            </w:r>
            <w:r w:rsidRPr="002F4991">
              <w:rPr>
                <w:rFonts w:ascii="Arial Narrow" w:hAnsi="Arial Narrow"/>
                <w:sz w:val="18"/>
                <w:szCs w:val="18"/>
              </w:rPr>
              <w:t>te d</w:t>
            </w:r>
            <w:r>
              <w:rPr>
                <w:rFonts w:ascii="Arial Narrow" w:hAnsi="Arial Narrow"/>
                <w:sz w:val="18"/>
                <w:szCs w:val="18"/>
              </w:rPr>
              <w:t>’</w:t>
            </w:r>
            <w:r w:rsidRPr="002F4991">
              <w:rPr>
                <w:rFonts w:ascii="Arial Narrow" w:hAnsi="Arial Narrow"/>
                <w:sz w:val="18"/>
                <w:szCs w:val="18"/>
              </w:rPr>
              <w:t>Ivoire</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83</w:t>
            </w:r>
          </w:p>
        </w:tc>
        <w:tc>
          <w:tcPr>
            <w:tcW w:w="60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2.73</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55.4</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Angola</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138</w:t>
            </w:r>
          </w:p>
        </w:tc>
        <w:tc>
          <w:tcPr>
            <w:tcW w:w="79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2.28</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40.8</w:t>
            </w:r>
          </w:p>
        </w:tc>
      </w:tr>
      <w:tr w:rsidR="00516EC8" w:rsidRPr="002F4991" w:rsidTr="00516EC8">
        <w:trPr>
          <w:trHeight w:val="240"/>
        </w:trPr>
        <w:tc>
          <w:tcPr>
            <w:tcW w:w="108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Malaysia</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29</w:t>
            </w:r>
          </w:p>
        </w:tc>
        <w:tc>
          <w:tcPr>
            <w:tcW w:w="76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3.49</w:t>
            </w:r>
          </w:p>
        </w:tc>
        <w:tc>
          <w:tcPr>
            <w:tcW w:w="867"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79.8</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Madagascar</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84</w:t>
            </w:r>
          </w:p>
        </w:tc>
        <w:tc>
          <w:tcPr>
            <w:tcW w:w="60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2.72</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55.1</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Rwanda</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139</w:t>
            </w:r>
          </w:p>
        </w:tc>
        <w:tc>
          <w:tcPr>
            <w:tcW w:w="79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2.27</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40.5</w:t>
            </w:r>
          </w:p>
        </w:tc>
      </w:tr>
      <w:tr w:rsidR="00516EC8" w:rsidRPr="002F4991" w:rsidTr="00516EC8">
        <w:trPr>
          <w:trHeight w:val="240"/>
        </w:trPr>
        <w:tc>
          <w:tcPr>
            <w:tcW w:w="108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Poland</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30</w:t>
            </w:r>
          </w:p>
        </w:tc>
        <w:tc>
          <w:tcPr>
            <w:tcW w:w="76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3.43</w:t>
            </w:r>
          </w:p>
        </w:tc>
        <w:tc>
          <w:tcPr>
            <w:tcW w:w="867"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77.8</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Dominican Republic</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85</w:t>
            </w:r>
          </w:p>
        </w:tc>
        <w:tc>
          <w:tcPr>
            <w:tcW w:w="60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2.70</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54.4</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Mongolia</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140</w:t>
            </w:r>
          </w:p>
        </w:tc>
        <w:tc>
          <w:tcPr>
            <w:tcW w:w="791" w:type="dxa"/>
            <w:tcBorders>
              <w:top w:val="nil"/>
              <w:left w:val="nil"/>
              <w:bottom w:val="nil"/>
              <w:right w:val="nil"/>
            </w:tcBorders>
            <w:shd w:val="clear" w:color="000000" w:fill="C0C0C0"/>
            <w:vAlign w:val="center"/>
            <w:hideMark/>
          </w:tcPr>
          <w:p w:rsidR="00516EC8" w:rsidRDefault="00516EC8" w:rsidP="00516EC8">
            <w:pPr>
              <w:jc w:val="center"/>
              <w:rPr>
                <w:rFonts w:ascii="Arial Narrow" w:hAnsi="Arial Narrow"/>
                <w:sz w:val="18"/>
                <w:szCs w:val="18"/>
              </w:rPr>
            </w:pPr>
            <w:r w:rsidRPr="00BD36E3">
              <w:rPr>
                <w:rFonts w:ascii="Arial Narrow" w:hAnsi="Arial Narrow"/>
                <w:sz w:val="18"/>
                <w:szCs w:val="18"/>
              </w:rPr>
              <w:t>2.25</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40.0</w:t>
            </w:r>
          </w:p>
        </w:tc>
      </w:tr>
      <w:tr w:rsidR="00516EC8" w:rsidRPr="002F4991" w:rsidTr="00516EC8">
        <w:trPr>
          <w:trHeight w:val="240"/>
        </w:trPr>
        <w:tc>
          <w:tcPr>
            <w:tcW w:w="108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New Zealand</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31</w:t>
            </w:r>
          </w:p>
        </w:tc>
        <w:tc>
          <w:tcPr>
            <w:tcW w:w="76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3.42</w:t>
            </w:r>
          </w:p>
        </w:tc>
        <w:tc>
          <w:tcPr>
            <w:tcW w:w="867"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77.4</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Kazakhstan</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86</w:t>
            </w:r>
          </w:p>
        </w:tc>
        <w:tc>
          <w:tcPr>
            <w:tcW w:w="60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2.69</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54.2</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Ethiopia</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141</w:t>
            </w:r>
          </w:p>
        </w:tc>
        <w:tc>
          <w:tcPr>
            <w:tcW w:w="791" w:type="dxa"/>
            <w:tcBorders>
              <w:top w:val="nil"/>
              <w:left w:val="nil"/>
              <w:bottom w:val="nil"/>
              <w:right w:val="nil"/>
            </w:tcBorders>
            <w:shd w:val="clear" w:color="000000" w:fill="FFFFFF"/>
            <w:vAlign w:val="center"/>
            <w:hideMark/>
          </w:tcPr>
          <w:p w:rsidR="00516EC8" w:rsidRDefault="00516EC8" w:rsidP="00516EC8">
            <w:pPr>
              <w:jc w:val="center"/>
              <w:rPr>
                <w:rFonts w:ascii="Arial Narrow" w:hAnsi="Arial Narrow"/>
                <w:sz w:val="18"/>
                <w:szCs w:val="18"/>
              </w:rPr>
            </w:pPr>
            <w:r w:rsidRPr="00BD36E3">
              <w:rPr>
                <w:rFonts w:ascii="Arial Narrow" w:hAnsi="Arial Narrow"/>
                <w:sz w:val="18"/>
                <w:szCs w:val="18"/>
              </w:rPr>
              <w:t>2.24</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39.6</w:t>
            </w:r>
          </w:p>
        </w:tc>
      </w:tr>
      <w:tr w:rsidR="00516EC8" w:rsidRPr="002F4991" w:rsidTr="00516EC8">
        <w:trPr>
          <w:trHeight w:val="240"/>
        </w:trPr>
        <w:tc>
          <w:tcPr>
            <w:tcW w:w="108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Iceland</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32</w:t>
            </w:r>
          </w:p>
        </w:tc>
        <w:tc>
          <w:tcPr>
            <w:tcW w:w="76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3.39</w:t>
            </w:r>
          </w:p>
        </w:tc>
        <w:tc>
          <w:tcPr>
            <w:tcW w:w="867"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76.6</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Niger</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87</w:t>
            </w:r>
          </w:p>
        </w:tc>
        <w:tc>
          <w:tcPr>
            <w:tcW w:w="60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2.69</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54.1</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Lesotho</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142</w:t>
            </w:r>
          </w:p>
        </w:tc>
        <w:tc>
          <w:tcPr>
            <w:tcW w:w="791" w:type="dxa"/>
            <w:tcBorders>
              <w:top w:val="nil"/>
              <w:left w:val="nil"/>
              <w:bottom w:val="nil"/>
              <w:right w:val="nil"/>
            </w:tcBorders>
            <w:shd w:val="clear" w:color="000000" w:fill="C0C0C0"/>
            <w:vAlign w:val="center"/>
            <w:hideMark/>
          </w:tcPr>
          <w:p w:rsidR="00516EC8" w:rsidRDefault="00516EC8" w:rsidP="00516EC8">
            <w:pPr>
              <w:jc w:val="center"/>
              <w:rPr>
                <w:rFonts w:ascii="Arial Narrow" w:hAnsi="Arial Narrow"/>
                <w:sz w:val="18"/>
                <w:szCs w:val="18"/>
              </w:rPr>
            </w:pPr>
            <w:r w:rsidRPr="00BD36E3">
              <w:rPr>
                <w:rFonts w:ascii="Arial Narrow" w:hAnsi="Arial Narrow"/>
                <w:sz w:val="18"/>
                <w:szCs w:val="18"/>
              </w:rPr>
              <w:t>2.24</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39.5</w:t>
            </w:r>
          </w:p>
        </w:tc>
      </w:tr>
      <w:tr w:rsidR="00516EC8" w:rsidRPr="002F4991" w:rsidTr="00516EC8">
        <w:trPr>
          <w:trHeight w:val="240"/>
        </w:trPr>
        <w:tc>
          <w:tcPr>
            <w:tcW w:w="108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Qatar</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33</w:t>
            </w:r>
          </w:p>
        </w:tc>
        <w:tc>
          <w:tcPr>
            <w:tcW w:w="76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3.32</w:t>
            </w:r>
          </w:p>
        </w:tc>
        <w:tc>
          <w:tcPr>
            <w:tcW w:w="867"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74.3</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Tanzania</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88</w:t>
            </w:r>
          </w:p>
        </w:tc>
        <w:tc>
          <w:tcPr>
            <w:tcW w:w="60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2.65</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52.9</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Congo, Dem. Rep.</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143</w:t>
            </w:r>
          </w:p>
        </w:tc>
        <w:tc>
          <w:tcPr>
            <w:tcW w:w="791" w:type="dxa"/>
            <w:tcBorders>
              <w:top w:val="nil"/>
              <w:left w:val="nil"/>
              <w:bottom w:val="nil"/>
              <w:right w:val="nil"/>
            </w:tcBorders>
            <w:shd w:val="clear" w:color="000000" w:fill="FFFFFF"/>
            <w:vAlign w:val="center"/>
            <w:hideMark/>
          </w:tcPr>
          <w:p w:rsidR="00516EC8" w:rsidRDefault="00516EC8" w:rsidP="00516EC8">
            <w:pPr>
              <w:jc w:val="center"/>
              <w:rPr>
                <w:rFonts w:ascii="Arial Narrow" w:hAnsi="Arial Narrow"/>
                <w:sz w:val="18"/>
                <w:szCs w:val="18"/>
              </w:rPr>
            </w:pPr>
            <w:r w:rsidRPr="00BD36E3">
              <w:rPr>
                <w:rFonts w:ascii="Arial Narrow" w:hAnsi="Arial Narrow"/>
                <w:sz w:val="18"/>
                <w:szCs w:val="18"/>
              </w:rPr>
              <w:t>2.21</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38.6</w:t>
            </w:r>
          </w:p>
        </w:tc>
      </w:tr>
      <w:tr w:rsidR="00516EC8" w:rsidRPr="002F4991" w:rsidTr="00516EC8">
        <w:trPr>
          <w:trHeight w:val="240"/>
        </w:trPr>
        <w:tc>
          <w:tcPr>
            <w:tcW w:w="108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Slovenia</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34</w:t>
            </w:r>
          </w:p>
        </w:tc>
        <w:tc>
          <w:tcPr>
            <w:tcW w:w="76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3.29</w:t>
            </w:r>
          </w:p>
        </w:tc>
        <w:tc>
          <w:tcPr>
            <w:tcW w:w="867"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73.1</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Namibia</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89</w:t>
            </w:r>
          </w:p>
        </w:tc>
        <w:tc>
          <w:tcPr>
            <w:tcW w:w="60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2.65</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52.9</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Cuba</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144</w:t>
            </w:r>
          </w:p>
        </w:tc>
        <w:tc>
          <w:tcPr>
            <w:tcW w:w="791" w:type="dxa"/>
            <w:tcBorders>
              <w:top w:val="nil"/>
              <w:left w:val="nil"/>
              <w:bottom w:val="nil"/>
              <w:right w:val="nil"/>
            </w:tcBorders>
            <w:shd w:val="clear" w:color="000000" w:fill="C0C0C0"/>
            <w:vAlign w:val="center"/>
            <w:hideMark/>
          </w:tcPr>
          <w:p w:rsidR="00516EC8" w:rsidRDefault="00516EC8" w:rsidP="00516EC8">
            <w:pPr>
              <w:jc w:val="center"/>
              <w:rPr>
                <w:rFonts w:ascii="Arial Narrow" w:hAnsi="Arial Narrow"/>
                <w:sz w:val="18"/>
                <w:szCs w:val="18"/>
              </w:rPr>
            </w:pPr>
            <w:r w:rsidRPr="00BD36E3">
              <w:rPr>
                <w:rFonts w:ascii="Arial Narrow" w:hAnsi="Arial Narrow"/>
                <w:sz w:val="18"/>
                <w:szCs w:val="18"/>
              </w:rPr>
              <w:t>2.20</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38.3</w:t>
            </w:r>
          </w:p>
        </w:tc>
      </w:tr>
      <w:tr w:rsidR="00516EC8" w:rsidRPr="002F4991" w:rsidTr="00516EC8">
        <w:trPr>
          <w:trHeight w:val="240"/>
        </w:trPr>
        <w:tc>
          <w:tcPr>
            <w:tcW w:w="108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Cyprus</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35</w:t>
            </w:r>
          </w:p>
        </w:tc>
        <w:tc>
          <w:tcPr>
            <w:tcW w:w="76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3.24</w:t>
            </w:r>
          </w:p>
        </w:tc>
        <w:tc>
          <w:tcPr>
            <w:tcW w:w="867"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71.8</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Bolivia</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90</w:t>
            </w:r>
          </w:p>
        </w:tc>
        <w:tc>
          <w:tcPr>
            <w:tcW w:w="60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2.61</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51.6</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Iraq</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145</w:t>
            </w:r>
          </w:p>
        </w:tc>
        <w:tc>
          <w:tcPr>
            <w:tcW w:w="791" w:type="dxa"/>
            <w:tcBorders>
              <w:top w:val="nil"/>
              <w:left w:val="nil"/>
              <w:bottom w:val="nil"/>
              <w:right w:val="nil"/>
            </w:tcBorders>
            <w:shd w:val="clear" w:color="000000" w:fill="FFFFFF"/>
            <w:vAlign w:val="center"/>
            <w:hideMark/>
          </w:tcPr>
          <w:p w:rsidR="00516EC8" w:rsidRDefault="00516EC8" w:rsidP="00516EC8">
            <w:pPr>
              <w:jc w:val="center"/>
              <w:rPr>
                <w:rFonts w:ascii="Arial Narrow" w:hAnsi="Arial Narrow"/>
                <w:sz w:val="18"/>
                <w:szCs w:val="18"/>
              </w:rPr>
            </w:pPr>
            <w:r w:rsidRPr="00BD36E3">
              <w:rPr>
                <w:rFonts w:ascii="Arial Narrow" w:hAnsi="Arial Narrow"/>
                <w:sz w:val="18"/>
                <w:szCs w:val="18"/>
              </w:rPr>
              <w:t>2.16</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37.1</w:t>
            </w:r>
          </w:p>
        </w:tc>
      </w:tr>
      <w:tr w:rsidR="00516EC8" w:rsidRPr="002F4991" w:rsidTr="00516EC8">
        <w:trPr>
          <w:trHeight w:val="240"/>
        </w:trPr>
        <w:tc>
          <w:tcPr>
            <w:tcW w:w="108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Bulgaria</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36</w:t>
            </w:r>
          </w:p>
        </w:tc>
        <w:tc>
          <w:tcPr>
            <w:tcW w:w="76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3.21</w:t>
            </w:r>
          </w:p>
        </w:tc>
        <w:tc>
          <w:tcPr>
            <w:tcW w:w="867"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70.7</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Belarus</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91</w:t>
            </w:r>
          </w:p>
        </w:tc>
        <w:tc>
          <w:tcPr>
            <w:tcW w:w="60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2.61</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51.6</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Comoros</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146</w:t>
            </w:r>
          </w:p>
        </w:tc>
        <w:tc>
          <w:tcPr>
            <w:tcW w:w="791" w:type="dxa"/>
            <w:tcBorders>
              <w:top w:val="nil"/>
              <w:left w:val="nil"/>
              <w:bottom w:val="nil"/>
              <w:right w:val="nil"/>
            </w:tcBorders>
            <w:shd w:val="clear" w:color="000000" w:fill="C0C0C0"/>
            <w:vAlign w:val="center"/>
            <w:hideMark/>
          </w:tcPr>
          <w:p w:rsidR="00516EC8" w:rsidRDefault="00516EC8" w:rsidP="00516EC8">
            <w:pPr>
              <w:jc w:val="center"/>
              <w:rPr>
                <w:rFonts w:ascii="Arial Narrow" w:hAnsi="Arial Narrow"/>
                <w:sz w:val="18"/>
                <w:szCs w:val="18"/>
              </w:rPr>
            </w:pPr>
            <w:r w:rsidRPr="00BD36E3">
              <w:rPr>
                <w:rFonts w:ascii="Arial Narrow" w:hAnsi="Arial Narrow"/>
                <w:sz w:val="18"/>
                <w:szCs w:val="18"/>
              </w:rPr>
              <w:t>2.14</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36.5</w:t>
            </w:r>
          </w:p>
        </w:tc>
      </w:tr>
      <w:tr w:rsidR="00516EC8" w:rsidRPr="002F4991" w:rsidTr="00516EC8">
        <w:trPr>
          <w:trHeight w:val="240"/>
        </w:trPr>
        <w:tc>
          <w:tcPr>
            <w:tcW w:w="108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Saudi Arabia</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37</w:t>
            </w:r>
          </w:p>
        </w:tc>
        <w:tc>
          <w:tcPr>
            <w:tcW w:w="76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3.18</w:t>
            </w:r>
          </w:p>
        </w:tc>
        <w:tc>
          <w:tcPr>
            <w:tcW w:w="867"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69.7</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Syrian Arab Republic</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92</w:t>
            </w:r>
          </w:p>
        </w:tc>
        <w:tc>
          <w:tcPr>
            <w:tcW w:w="60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2.60</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51.3</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Eritrea</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147</w:t>
            </w:r>
          </w:p>
        </w:tc>
        <w:tc>
          <w:tcPr>
            <w:tcW w:w="791" w:type="dxa"/>
            <w:tcBorders>
              <w:top w:val="nil"/>
              <w:left w:val="nil"/>
              <w:bottom w:val="nil"/>
              <w:right w:val="nil"/>
            </w:tcBorders>
            <w:shd w:val="clear" w:color="000000" w:fill="FFFFFF"/>
            <w:vAlign w:val="center"/>
            <w:hideMark/>
          </w:tcPr>
          <w:p w:rsidR="00516EC8" w:rsidRDefault="00516EC8" w:rsidP="00516EC8">
            <w:pPr>
              <w:jc w:val="center"/>
              <w:rPr>
                <w:rFonts w:ascii="Arial Narrow" w:hAnsi="Arial Narrow"/>
                <w:sz w:val="18"/>
                <w:szCs w:val="18"/>
              </w:rPr>
            </w:pPr>
            <w:r w:rsidRPr="00BD36E3">
              <w:rPr>
                <w:rFonts w:ascii="Arial Narrow" w:hAnsi="Arial Narrow"/>
                <w:sz w:val="18"/>
                <w:szCs w:val="18"/>
              </w:rPr>
              <w:t>2.11</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35.5</w:t>
            </w:r>
          </w:p>
        </w:tc>
      </w:tr>
      <w:tr w:rsidR="00516EC8" w:rsidRPr="002F4991" w:rsidTr="00516EC8">
        <w:trPr>
          <w:trHeight w:val="240"/>
        </w:trPr>
        <w:tc>
          <w:tcPr>
            <w:tcW w:w="108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Thailand</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38</w:t>
            </w:r>
          </w:p>
        </w:tc>
        <w:tc>
          <w:tcPr>
            <w:tcW w:w="76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3.18</w:t>
            </w:r>
          </w:p>
        </w:tc>
        <w:tc>
          <w:tcPr>
            <w:tcW w:w="867"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69.6</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El Salvador</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93</w:t>
            </w:r>
          </w:p>
        </w:tc>
        <w:tc>
          <w:tcPr>
            <w:tcW w:w="60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2.60</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51.2</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Sudan</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148</w:t>
            </w:r>
          </w:p>
        </w:tc>
        <w:tc>
          <w:tcPr>
            <w:tcW w:w="791" w:type="dxa"/>
            <w:tcBorders>
              <w:top w:val="nil"/>
              <w:left w:val="nil"/>
              <w:bottom w:val="nil"/>
              <w:right w:val="nil"/>
            </w:tcBorders>
            <w:shd w:val="clear" w:color="000000" w:fill="C0C0C0"/>
            <w:vAlign w:val="center"/>
            <w:hideMark/>
          </w:tcPr>
          <w:p w:rsidR="00516EC8" w:rsidRDefault="00516EC8" w:rsidP="00516EC8">
            <w:pPr>
              <w:jc w:val="center"/>
              <w:rPr>
                <w:rFonts w:ascii="Arial Narrow" w:hAnsi="Arial Narrow"/>
                <w:sz w:val="18"/>
                <w:szCs w:val="18"/>
              </w:rPr>
            </w:pPr>
            <w:r w:rsidRPr="00BD36E3">
              <w:rPr>
                <w:rFonts w:ascii="Arial Narrow" w:hAnsi="Arial Narrow"/>
                <w:sz w:val="18"/>
                <w:szCs w:val="18"/>
              </w:rPr>
              <w:t>2.10</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35.3</w:t>
            </w:r>
          </w:p>
        </w:tc>
      </w:tr>
      <w:tr w:rsidR="00516EC8" w:rsidRPr="002F4991" w:rsidTr="00516EC8">
        <w:trPr>
          <w:trHeight w:val="240"/>
        </w:trPr>
        <w:tc>
          <w:tcPr>
            <w:tcW w:w="108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Chile</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39</w:t>
            </w:r>
          </w:p>
        </w:tc>
        <w:tc>
          <w:tcPr>
            <w:tcW w:w="76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3.17</w:t>
            </w:r>
          </w:p>
        </w:tc>
        <w:tc>
          <w:tcPr>
            <w:tcW w:w="867"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69.5</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Guinea-Bissau</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94</w:t>
            </w:r>
          </w:p>
        </w:tc>
        <w:tc>
          <w:tcPr>
            <w:tcW w:w="60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2.60</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51.1</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Congo, Rep.</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149</w:t>
            </w:r>
          </w:p>
        </w:tc>
        <w:tc>
          <w:tcPr>
            <w:tcW w:w="791" w:type="dxa"/>
            <w:tcBorders>
              <w:top w:val="nil"/>
              <w:left w:val="nil"/>
              <w:bottom w:val="nil"/>
              <w:right w:val="nil"/>
            </w:tcBorders>
            <w:shd w:val="clear" w:color="000000" w:fill="FFFFFF"/>
            <w:vAlign w:val="center"/>
            <w:hideMark/>
          </w:tcPr>
          <w:p w:rsidR="00516EC8" w:rsidRDefault="00516EC8" w:rsidP="00516EC8">
            <w:pPr>
              <w:jc w:val="center"/>
              <w:rPr>
                <w:rFonts w:ascii="Arial Narrow" w:hAnsi="Arial Narrow"/>
                <w:sz w:val="18"/>
                <w:szCs w:val="18"/>
              </w:rPr>
            </w:pPr>
            <w:r w:rsidRPr="00BD36E3">
              <w:rPr>
                <w:rFonts w:ascii="Arial Narrow" w:hAnsi="Arial Narrow"/>
                <w:sz w:val="18"/>
                <w:szCs w:val="18"/>
              </w:rPr>
              <w:t>2.08</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34.7</w:t>
            </w:r>
          </w:p>
        </w:tc>
      </w:tr>
      <w:tr w:rsidR="00516EC8" w:rsidRPr="002F4991" w:rsidTr="00516EC8">
        <w:trPr>
          <w:trHeight w:val="240"/>
        </w:trPr>
        <w:tc>
          <w:tcPr>
            <w:tcW w:w="108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Hungary</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40</w:t>
            </w:r>
          </w:p>
        </w:tc>
        <w:tc>
          <w:tcPr>
            <w:tcW w:w="76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3.17</w:t>
            </w:r>
          </w:p>
        </w:tc>
        <w:tc>
          <w:tcPr>
            <w:tcW w:w="867"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69.5</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Russian Federation</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95</w:t>
            </w:r>
          </w:p>
        </w:tc>
        <w:tc>
          <w:tcPr>
            <w:tcW w:w="60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2.58</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50.7</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Sierra Leone</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150</w:t>
            </w:r>
          </w:p>
        </w:tc>
        <w:tc>
          <w:tcPr>
            <w:tcW w:w="791" w:type="dxa"/>
            <w:tcBorders>
              <w:top w:val="nil"/>
              <w:left w:val="nil"/>
              <w:bottom w:val="nil"/>
              <w:right w:val="nil"/>
            </w:tcBorders>
            <w:shd w:val="clear" w:color="000000" w:fill="C0C0C0"/>
            <w:vAlign w:val="center"/>
            <w:hideMark/>
          </w:tcPr>
          <w:p w:rsidR="00516EC8" w:rsidRDefault="00516EC8" w:rsidP="00516EC8">
            <w:pPr>
              <w:jc w:val="center"/>
              <w:rPr>
                <w:rFonts w:ascii="Arial Narrow" w:hAnsi="Arial Narrow"/>
                <w:sz w:val="18"/>
                <w:szCs w:val="18"/>
              </w:rPr>
            </w:pPr>
            <w:r w:rsidRPr="00BD36E3">
              <w:rPr>
                <w:rFonts w:ascii="Arial Narrow" w:hAnsi="Arial Narrow"/>
                <w:sz w:val="18"/>
                <w:szCs w:val="18"/>
              </w:rPr>
              <w:t>2.08</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34.5</w:t>
            </w:r>
          </w:p>
        </w:tc>
      </w:tr>
      <w:tr w:rsidR="00516EC8" w:rsidRPr="002F4991" w:rsidTr="00516EC8">
        <w:trPr>
          <w:trHeight w:val="240"/>
        </w:trPr>
        <w:tc>
          <w:tcPr>
            <w:tcW w:w="108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Tunisia</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41</w:t>
            </w:r>
          </w:p>
        </w:tc>
        <w:tc>
          <w:tcPr>
            <w:tcW w:w="76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3.17</w:t>
            </w:r>
          </w:p>
        </w:tc>
        <w:tc>
          <w:tcPr>
            <w:tcW w:w="867"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69.4</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Lebanon</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96</w:t>
            </w:r>
          </w:p>
        </w:tc>
        <w:tc>
          <w:tcPr>
            <w:tcW w:w="60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2.58</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50.6</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Nepal</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151</w:t>
            </w:r>
          </w:p>
        </w:tc>
        <w:tc>
          <w:tcPr>
            <w:tcW w:w="791" w:type="dxa"/>
            <w:tcBorders>
              <w:top w:val="nil"/>
              <w:left w:val="nil"/>
              <w:bottom w:val="nil"/>
              <w:right w:val="nil"/>
            </w:tcBorders>
            <w:shd w:val="clear" w:color="000000" w:fill="FFFFFF"/>
            <w:vAlign w:val="center"/>
            <w:hideMark/>
          </w:tcPr>
          <w:p w:rsidR="00516EC8" w:rsidRDefault="00516EC8" w:rsidP="00516EC8">
            <w:pPr>
              <w:jc w:val="center"/>
              <w:rPr>
                <w:rFonts w:ascii="Arial Narrow" w:hAnsi="Arial Narrow"/>
                <w:sz w:val="18"/>
                <w:szCs w:val="18"/>
              </w:rPr>
            </w:pPr>
            <w:r w:rsidRPr="00BD36E3">
              <w:rPr>
                <w:rFonts w:ascii="Arial Narrow" w:hAnsi="Arial Narrow"/>
                <w:sz w:val="18"/>
                <w:szCs w:val="18"/>
              </w:rPr>
              <w:t>2.04</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33.1</w:t>
            </w:r>
          </w:p>
        </w:tc>
      </w:tr>
      <w:tr w:rsidR="00516EC8" w:rsidRPr="002F4991" w:rsidTr="00516EC8">
        <w:trPr>
          <w:trHeight w:val="240"/>
        </w:trPr>
        <w:tc>
          <w:tcPr>
            <w:tcW w:w="108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Croatia</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42</w:t>
            </w:r>
          </w:p>
        </w:tc>
        <w:tc>
          <w:tcPr>
            <w:tcW w:w="76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3.16</w:t>
            </w:r>
          </w:p>
        </w:tc>
        <w:tc>
          <w:tcPr>
            <w:tcW w:w="867"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69.2</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Togo</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97</w:t>
            </w:r>
          </w:p>
        </w:tc>
        <w:tc>
          <w:tcPr>
            <w:tcW w:w="60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2.58</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50.5</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Chad</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152</w:t>
            </w:r>
          </w:p>
        </w:tc>
        <w:tc>
          <w:tcPr>
            <w:tcW w:w="791" w:type="dxa"/>
            <w:tcBorders>
              <w:top w:val="nil"/>
              <w:left w:val="nil"/>
              <w:bottom w:val="nil"/>
              <w:right w:val="nil"/>
            </w:tcBorders>
            <w:shd w:val="clear" w:color="000000" w:fill="C0C0C0"/>
            <w:vAlign w:val="center"/>
            <w:hideMark/>
          </w:tcPr>
          <w:p w:rsidR="00516EC8" w:rsidRDefault="00516EC8" w:rsidP="00516EC8">
            <w:pPr>
              <w:jc w:val="center"/>
              <w:rPr>
                <w:rFonts w:ascii="Arial Narrow" w:hAnsi="Arial Narrow"/>
                <w:sz w:val="18"/>
                <w:szCs w:val="18"/>
              </w:rPr>
            </w:pPr>
            <w:r w:rsidRPr="00BD36E3">
              <w:rPr>
                <w:rFonts w:ascii="Arial Narrow" w:hAnsi="Arial Narrow"/>
                <w:sz w:val="18"/>
                <w:szCs w:val="18"/>
              </w:rPr>
              <w:t>2.03</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32.9</w:t>
            </w:r>
          </w:p>
        </w:tc>
      </w:tr>
      <w:tr w:rsidR="00516EC8" w:rsidRPr="002F4991" w:rsidTr="00516EC8">
        <w:trPr>
          <w:trHeight w:val="240"/>
        </w:trPr>
        <w:tc>
          <w:tcPr>
            <w:tcW w:w="108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Malta</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43</w:t>
            </w:r>
          </w:p>
        </w:tc>
        <w:tc>
          <w:tcPr>
            <w:tcW w:w="76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3.16</w:t>
            </w:r>
          </w:p>
        </w:tc>
        <w:tc>
          <w:tcPr>
            <w:tcW w:w="867"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69.0</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Central African Republic</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98</w:t>
            </w:r>
          </w:p>
        </w:tc>
        <w:tc>
          <w:tcPr>
            <w:tcW w:w="60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2.57</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50.3</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Haiti</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153</w:t>
            </w:r>
          </w:p>
        </w:tc>
        <w:tc>
          <w:tcPr>
            <w:tcW w:w="791" w:type="dxa"/>
            <w:tcBorders>
              <w:top w:val="nil"/>
              <w:left w:val="nil"/>
              <w:bottom w:val="nil"/>
              <w:right w:val="nil"/>
            </w:tcBorders>
            <w:shd w:val="clear" w:color="000000" w:fill="FFFFFF"/>
            <w:vAlign w:val="center"/>
            <w:hideMark/>
          </w:tcPr>
          <w:p w:rsidR="00516EC8" w:rsidRDefault="00516EC8" w:rsidP="00516EC8">
            <w:pPr>
              <w:jc w:val="center"/>
              <w:rPr>
                <w:rFonts w:ascii="Arial Narrow" w:hAnsi="Arial Narrow"/>
                <w:sz w:val="18"/>
                <w:szCs w:val="18"/>
              </w:rPr>
            </w:pPr>
            <w:r w:rsidRPr="00BD36E3">
              <w:rPr>
                <w:rFonts w:ascii="Arial Narrow" w:hAnsi="Arial Narrow"/>
                <w:sz w:val="18"/>
                <w:szCs w:val="18"/>
              </w:rPr>
              <w:t>2.03</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32.8</w:t>
            </w:r>
          </w:p>
        </w:tc>
      </w:tr>
      <w:tr w:rsidR="00516EC8" w:rsidRPr="002F4991" w:rsidTr="00516EC8">
        <w:trPr>
          <w:trHeight w:val="240"/>
        </w:trPr>
        <w:tc>
          <w:tcPr>
            <w:tcW w:w="108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lastRenderedPageBreak/>
              <w:t>Czech Republic</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44</w:t>
            </w:r>
          </w:p>
        </w:tc>
        <w:tc>
          <w:tcPr>
            <w:tcW w:w="76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3.14</w:t>
            </w:r>
          </w:p>
        </w:tc>
        <w:tc>
          <w:tcPr>
            <w:tcW w:w="867"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68.5</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Macedonia, FYR</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99</w:t>
            </w:r>
          </w:p>
        </w:tc>
        <w:tc>
          <w:tcPr>
            <w:tcW w:w="60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2.56</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50.1</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Djibouti</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154</w:t>
            </w:r>
          </w:p>
        </w:tc>
        <w:tc>
          <w:tcPr>
            <w:tcW w:w="791" w:type="dxa"/>
            <w:tcBorders>
              <w:top w:val="nil"/>
              <w:left w:val="nil"/>
              <w:bottom w:val="nil"/>
              <w:right w:val="nil"/>
            </w:tcBorders>
            <w:shd w:val="clear" w:color="000000" w:fill="C0C0C0"/>
            <w:vAlign w:val="center"/>
            <w:hideMark/>
          </w:tcPr>
          <w:p w:rsidR="00516EC8" w:rsidRDefault="00516EC8" w:rsidP="00516EC8">
            <w:pPr>
              <w:jc w:val="center"/>
              <w:rPr>
                <w:rFonts w:ascii="Arial Narrow" w:hAnsi="Arial Narrow"/>
                <w:sz w:val="18"/>
                <w:szCs w:val="18"/>
              </w:rPr>
            </w:pPr>
            <w:r w:rsidRPr="00BD36E3">
              <w:rPr>
                <w:rFonts w:ascii="Arial Narrow" w:hAnsi="Arial Narrow"/>
                <w:sz w:val="18"/>
                <w:szCs w:val="18"/>
              </w:rPr>
              <w:t>1.80</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25.5</w:t>
            </w:r>
          </w:p>
        </w:tc>
      </w:tr>
      <w:tr w:rsidR="00516EC8" w:rsidRPr="002F4991" w:rsidTr="00516EC8">
        <w:trPr>
          <w:trHeight w:val="240"/>
        </w:trPr>
        <w:tc>
          <w:tcPr>
            <w:tcW w:w="108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Brazil</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45</w:t>
            </w:r>
          </w:p>
        </w:tc>
        <w:tc>
          <w:tcPr>
            <w:tcW w:w="76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3.13</w:t>
            </w:r>
          </w:p>
        </w:tc>
        <w:tc>
          <w:tcPr>
            <w:tcW w:w="867"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68.2</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Armenia</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100</w:t>
            </w:r>
          </w:p>
        </w:tc>
        <w:tc>
          <w:tcPr>
            <w:tcW w:w="60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2.56</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50.0</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25" w:type="dxa"/>
            <w:tcBorders>
              <w:top w:val="nil"/>
              <w:left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Burundi</w:t>
            </w:r>
          </w:p>
        </w:tc>
        <w:tc>
          <w:tcPr>
            <w:tcW w:w="561" w:type="dxa"/>
            <w:tcBorders>
              <w:top w:val="nil"/>
              <w:left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155</w:t>
            </w:r>
          </w:p>
        </w:tc>
        <w:tc>
          <w:tcPr>
            <w:tcW w:w="791" w:type="dxa"/>
            <w:tcBorders>
              <w:top w:val="nil"/>
              <w:left w:val="nil"/>
              <w:right w:val="nil"/>
            </w:tcBorders>
            <w:shd w:val="clear" w:color="000000" w:fill="FFFFFF"/>
            <w:vAlign w:val="center"/>
            <w:hideMark/>
          </w:tcPr>
          <w:p w:rsidR="00516EC8" w:rsidRDefault="00516EC8" w:rsidP="00516EC8">
            <w:pPr>
              <w:jc w:val="center"/>
              <w:rPr>
                <w:rFonts w:ascii="Arial Narrow" w:hAnsi="Arial Narrow"/>
                <w:sz w:val="18"/>
                <w:szCs w:val="18"/>
              </w:rPr>
            </w:pPr>
            <w:r w:rsidRPr="00BD36E3">
              <w:rPr>
                <w:rFonts w:ascii="Arial Narrow" w:hAnsi="Arial Narrow"/>
                <w:sz w:val="18"/>
                <w:szCs w:val="18"/>
              </w:rPr>
              <w:t>1.61</w:t>
            </w:r>
          </w:p>
        </w:tc>
        <w:tc>
          <w:tcPr>
            <w:tcW w:w="856" w:type="dxa"/>
            <w:tcBorders>
              <w:top w:val="nil"/>
              <w:left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19.5</w:t>
            </w:r>
          </w:p>
        </w:tc>
      </w:tr>
      <w:tr w:rsidR="00516EC8" w:rsidRPr="002F4991" w:rsidTr="00516EC8">
        <w:trPr>
          <w:trHeight w:val="240"/>
        </w:trPr>
        <w:tc>
          <w:tcPr>
            <w:tcW w:w="108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India</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46</w:t>
            </w:r>
          </w:p>
        </w:tc>
        <w:tc>
          <w:tcPr>
            <w:tcW w:w="76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3.08</w:t>
            </w:r>
          </w:p>
        </w:tc>
        <w:tc>
          <w:tcPr>
            <w:tcW w:w="867"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66.4</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Cambodia</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101</w:t>
            </w:r>
          </w:p>
        </w:tc>
        <w:tc>
          <w:tcPr>
            <w:tcW w:w="60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2.56</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50.0</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p>
        </w:tc>
        <w:tc>
          <w:tcPr>
            <w:tcW w:w="561"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p>
        </w:tc>
        <w:tc>
          <w:tcPr>
            <w:tcW w:w="791" w:type="dxa"/>
            <w:tcBorders>
              <w:top w:val="nil"/>
              <w:left w:val="nil"/>
              <w:bottom w:val="nil"/>
              <w:right w:val="nil"/>
            </w:tcBorders>
            <w:shd w:val="clear" w:color="auto" w:fill="FFFFFF" w:themeFill="background1"/>
            <w:vAlign w:val="center"/>
            <w:hideMark/>
          </w:tcPr>
          <w:p w:rsidR="00516EC8" w:rsidRDefault="00516EC8" w:rsidP="00516EC8">
            <w:pPr>
              <w:jc w:val="center"/>
              <w:rPr>
                <w:rFonts w:ascii="Arial Narrow" w:hAnsi="Arial Narrow"/>
                <w:sz w:val="18"/>
                <w:szCs w:val="18"/>
              </w:rPr>
            </w:pPr>
          </w:p>
        </w:tc>
        <w:tc>
          <w:tcPr>
            <w:tcW w:w="856"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p>
        </w:tc>
      </w:tr>
      <w:tr w:rsidR="00516EC8" w:rsidRPr="002F4991" w:rsidTr="00516EC8">
        <w:trPr>
          <w:trHeight w:val="240"/>
        </w:trPr>
        <w:tc>
          <w:tcPr>
            <w:tcW w:w="108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Mexico</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47</w:t>
            </w:r>
          </w:p>
        </w:tc>
        <w:tc>
          <w:tcPr>
            <w:tcW w:w="76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3.06</w:t>
            </w:r>
          </w:p>
        </w:tc>
        <w:tc>
          <w:tcPr>
            <w:tcW w:w="867"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66.0</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Jordan</w:t>
            </w:r>
          </w:p>
        </w:tc>
        <w:tc>
          <w:tcPr>
            <w:tcW w:w="561"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102</w:t>
            </w:r>
          </w:p>
        </w:tc>
        <w:tc>
          <w:tcPr>
            <w:tcW w:w="60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2.56</w:t>
            </w:r>
          </w:p>
        </w:tc>
        <w:tc>
          <w:tcPr>
            <w:tcW w:w="856"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49.8</w:t>
            </w:r>
          </w:p>
        </w:tc>
        <w:tc>
          <w:tcPr>
            <w:tcW w:w="222" w:type="dxa"/>
            <w:tcBorders>
              <w:top w:val="nil"/>
              <w:left w:val="nil"/>
              <w:bottom w:val="nil"/>
              <w:right w:val="nil"/>
            </w:tcBorders>
            <w:shd w:val="clear" w:color="000000" w:fill="FFFFFF"/>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p>
        </w:tc>
        <w:tc>
          <w:tcPr>
            <w:tcW w:w="561"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p>
        </w:tc>
        <w:tc>
          <w:tcPr>
            <w:tcW w:w="791"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p>
        </w:tc>
        <w:tc>
          <w:tcPr>
            <w:tcW w:w="856"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p>
        </w:tc>
      </w:tr>
      <w:tr w:rsidR="00516EC8" w:rsidRPr="002F4991" w:rsidTr="00516EC8">
        <w:trPr>
          <w:trHeight w:val="240"/>
        </w:trPr>
        <w:tc>
          <w:tcPr>
            <w:tcW w:w="108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Bahrain</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48</w:t>
            </w:r>
          </w:p>
        </w:tc>
        <w:tc>
          <w:tcPr>
            <w:tcW w:w="76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3.05</w:t>
            </w:r>
          </w:p>
        </w:tc>
        <w:tc>
          <w:tcPr>
            <w:tcW w:w="867"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65.7</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Zimbabwe</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103</w:t>
            </w:r>
          </w:p>
        </w:tc>
        <w:tc>
          <w:tcPr>
            <w:tcW w:w="60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2.55</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49.6</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p>
        </w:tc>
        <w:tc>
          <w:tcPr>
            <w:tcW w:w="561"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p>
        </w:tc>
        <w:tc>
          <w:tcPr>
            <w:tcW w:w="791"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p>
        </w:tc>
        <w:tc>
          <w:tcPr>
            <w:tcW w:w="856"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p>
        </w:tc>
      </w:tr>
      <w:tr w:rsidR="00516EC8" w:rsidRPr="002F4991" w:rsidTr="00516EC8">
        <w:trPr>
          <w:trHeight w:val="240"/>
        </w:trPr>
        <w:tc>
          <w:tcPr>
            <w:tcW w:w="1082" w:type="dxa"/>
            <w:tcBorders>
              <w:top w:val="nil"/>
              <w:left w:val="nil"/>
              <w:bottom w:val="nil"/>
              <w:right w:val="nil"/>
            </w:tcBorders>
            <w:shd w:val="clear" w:color="auto" w:fill="auto"/>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Argentina</w:t>
            </w:r>
          </w:p>
        </w:tc>
        <w:tc>
          <w:tcPr>
            <w:tcW w:w="561" w:type="dxa"/>
            <w:tcBorders>
              <w:top w:val="nil"/>
              <w:left w:val="nil"/>
              <w:bottom w:val="nil"/>
              <w:right w:val="nil"/>
            </w:tcBorders>
            <w:shd w:val="clear" w:color="auto" w:fill="auto"/>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49</w:t>
            </w:r>
          </w:p>
        </w:tc>
        <w:tc>
          <w:tcPr>
            <w:tcW w:w="766" w:type="dxa"/>
            <w:tcBorders>
              <w:top w:val="nil"/>
              <w:left w:val="nil"/>
              <w:bottom w:val="nil"/>
              <w:right w:val="nil"/>
            </w:tcBorders>
            <w:shd w:val="clear" w:color="auto" w:fill="auto"/>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3.05</w:t>
            </w:r>
          </w:p>
        </w:tc>
        <w:tc>
          <w:tcPr>
            <w:tcW w:w="867" w:type="dxa"/>
            <w:tcBorders>
              <w:top w:val="nil"/>
              <w:left w:val="nil"/>
              <w:bottom w:val="nil"/>
              <w:right w:val="nil"/>
            </w:tcBorders>
            <w:shd w:val="clear" w:color="auto" w:fill="auto"/>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65.5</w:t>
            </w:r>
          </w:p>
        </w:tc>
        <w:tc>
          <w:tcPr>
            <w:tcW w:w="222" w:type="dxa"/>
            <w:tcBorders>
              <w:top w:val="nil"/>
              <w:left w:val="nil"/>
              <w:bottom w:val="nil"/>
              <w:right w:val="nil"/>
            </w:tcBorders>
            <w:shd w:val="clear" w:color="auto" w:fill="auto"/>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auto" w:fill="auto"/>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Maldives</w:t>
            </w:r>
          </w:p>
        </w:tc>
        <w:tc>
          <w:tcPr>
            <w:tcW w:w="561" w:type="dxa"/>
            <w:tcBorders>
              <w:top w:val="nil"/>
              <w:left w:val="nil"/>
              <w:bottom w:val="nil"/>
              <w:right w:val="nil"/>
            </w:tcBorders>
            <w:shd w:val="clear" w:color="auto" w:fill="auto"/>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104</w:t>
            </w:r>
          </w:p>
        </w:tc>
        <w:tc>
          <w:tcPr>
            <w:tcW w:w="606" w:type="dxa"/>
            <w:tcBorders>
              <w:top w:val="nil"/>
              <w:left w:val="nil"/>
              <w:bottom w:val="nil"/>
              <w:right w:val="nil"/>
            </w:tcBorders>
            <w:shd w:val="clear" w:color="auto" w:fill="auto"/>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2.55</w:t>
            </w:r>
          </w:p>
        </w:tc>
        <w:tc>
          <w:tcPr>
            <w:tcW w:w="856" w:type="dxa"/>
            <w:tcBorders>
              <w:top w:val="nil"/>
              <w:left w:val="nil"/>
              <w:bottom w:val="nil"/>
              <w:right w:val="nil"/>
            </w:tcBorders>
            <w:shd w:val="clear" w:color="auto" w:fill="auto"/>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49.4</w:t>
            </w:r>
          </w:p>
        </w:tc>
        <w:tc>
          <w:tcPr>
            <w:tcW w:w="222" w:type="dxa"/>
            <w:tcBorders>
              <w:top w:val="nil"/>
              <w:left w:val="nil"/>
              <w:bottom w:val="nil"/>
              <w:right w:val="nil"/>
            </w:tcBorders>
            <w:shd w:val="clear" w:color="auto" w:fill="auto"/>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p>
        </w:tc>
        <w:tc>
          <w:tcPr>
            <w:tcW w:w="561"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p>
        </w:tc>
        <w:tc>
          <w:tcPr>
            <w:tcW w:w="791"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p>
        </w:tc>
        <w:tc>
          <w:tcPr>
            <w:tcW w:w="856"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p>
        </w:tc>
      </w:tr>
      <w:tr w:rsidR="00516EC8" w:rsidRPr="002F4991" w:rsidTr="00516EC8">
        <w:trPr>
          <w:trHeight w:val="240"/>
        </w:trPr>
        <w:tc>
          <w:tcPr>
            <w:tcW w:w="108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Morocco</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50</w:t>
            </w:r>
          </w:p>
        </w:tc>
        <w:tc>
          <w:tcPr>
            <w:tcW w:w="76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3.03</w:t>
            </w:r>
          </w:p>
        </w:tc>
        <w:tc>
          <w:tcPr>
            <w:tcW w:w="867"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65.0</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Honduras</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105</w:t>
            </w:r>
          </w:p>
        </w:tc>
        <w:tc>
          <w:tcPr>
            <w:tcW w:w="60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2.53</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49.1</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p>
        </w:tc>
        <w:tc>
          <w:tcPr>
            <w:tcW w:w="561"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p>
        </w:tc>
        <w:tc>
          <w:tcPr>
            <w:tcW w:w="791"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p>
        </w:tc>
        <w:tc>
          <w:tcPr>
            <w:tcW w:w="856"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p>
        </w:tc>
      </w:tr>
      <w:tr w:rsidR="00516EC8" w:rsidRPr="002F4991" w:rsidTr="00516EC8">
        <w:trPr>
          <w:trHeight w:val="240"/>
        </w:trPr>
        <w:tc>
          <w:tcPr>
            <w:tcW w:w="1082" w:type="dxa"/>
            <w:tcBorders>
              <w:top w:val="nil"/>
              <w:left w:val="nil"/>
              <w:bottom w:val="nil"/>
              <w:right w:val="nil"/>
            </w:tcBorders>
            <w:shd w:val="clear" w:color="auto" w:fill="auto"/>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Slovak Republic</w:t>
            </w:r>
          </w:p>
        </w:tc>
        <w:tc>
          <w:tcPr>
            <w:tcW w:w="561" w:type="dxa"/>
            <w:tcBorders>
              <w:top w:val="nil"/>
              <w:left w:val="nil"/>
              <w:bottom w:val="nil"/>
              <w:right w:val="nil"/>
            </w:tcBorders>
            <w:shd w:val="clear" w:color="auto" w:fill="auto"/>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51</w:t>
            </w:r>
          </w:p>
        </w:tc>
        <w:tc>
          <w:tcPr>
            <w:tcW w:w="766" w:type="dxa"/>
            <w:tcBorders>
              <w:top w:val="nil"/>
              <w:left w:val="nil"/>
              <w:bottom w:val="nil"/>
              <w:right w:val="nil"/>
            </w:tcBorders>
            <w:shd w:val="clear" w:color="auto" w:fill="auto"/>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3.03</w:t>
            </w:r>
          </w:p>
        </w:tc>
        <w:tc>
          <w:tcPr>
            <w:tcW w:w="867" w:type="dxa"/>
            <w:tcBorders>
              <w:top w:val="nil"/>
              <w:left w:val="nil"/>
              <w:bottom w:val="nil"/>
              <w:right w:val="nil"/>
            </w:tcBorders>
            <w:shd w:val="clear" w:color="auto" w:fill="auto"/>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64.9</w:t>
            </w:r>
          </w:p>
        </w:tc>
        <w:tc>
          <w:tcPr>
            <w:tcW w:w="222" w:type="dxa"/>
            <w:tcBorders>
              <w:top w:val="nil"/>
              <w:left w:val="nil"/>
              <w:bottom w:val="nil"/>
              <w:right w:val="nil"/>
            </w:tcBorders>
            <w:shd w:val="clear" w:color="auto" w:fill="auto"/>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auto" w:fill="auto"/>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Cameroon</w:t>
            </w:r>
          </w:p>
        </w:tc>
        <w:tc>
          <w:tcPr>
            <w:tcW w:w="561" w:type="dxa"/>
            <w:tcBorders>
              <w:top w:val="nil"/>
              <w:left w:val="nil"/>
              <w:bottom w:val="nil"/>
              <w:right w:val="nil"/>
            </w:tcBorders>
            <w:shd w:val="clear" w:color="auto" w:fill="auto"/>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106</w:t>
            </w:r>
          </w:p>
        </w:tc>
        <w:tc>
          <w:tcPr>
            <w:tcW w:w="606" w:type="dxa"/>
            <w:tcBorders>
              <w:top w:val="nil"/>
              <w:left w:val="nil"/>
              <w:bottom w:val="nil"/>
              <w:right w:val="nil"/>
            </w:tcBorders>
            <w:shd w:val="clear" w:color="auto" w:fill="auto"/>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2.53</w:t>
            </w:r>
          </w:p>
        </w:tc>
        <w:tc>
          <w:tcPr>
            <w:tcW w:w="856" w:type="dxa"/>
            <w:tcBorders>
              <w:top w:val="nil"/>
              <w:left w:val="nil"/>
              <w:bottom w:val="nil"/>
              <w:right w:val="nil"/>
            </w:tcBorders>
            <w:shd w:val="clear" w:color="auto" w:fill="auto"/>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48.9</w:t>
            </w:r>
          </w:p>
        </w:tc>
        <w:tc>
          <w:tcPr>
            <w:tcW w:w="222" w:type="dxa"/>
            <w:tcBorders>
              <w:top w:val="nil"/>
              <w:left w:val="nil"/>
              <w:bottom w:val="nil"/>
              <w:right w:val="nil"/>
            </w:tcBorders>
            <w:shd w:val="clear" w:color="auto" w:fill="auto"/>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p>
        </w:tc>
        <w:tc>
          <w:tcPr>
            <w:tcW w:w="561"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p>
        </w:tc>
        <w:tc>
          <w:tcPr>
            <w:tcW w:w="791"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p>
        </w:tc>
        <w:tc>
          <w:tcPr>
            <w:tcW w:w="856"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p>
        </w:tc>
      </w:tr>
      <w:tr w:rsidR="00516EC8" w:rsidRPr="002F4991" w:rsidTr="00516EC8">
        <w:trPr>
          <w:trHeight w:val="240"/>
        </w:trPr>
        <w:tc>
          <w:tcPr>
            <w:tcW w:w="108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Philippines</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52</w:t>
            </w:r>
          </w:p>
        </w:tc>
        <w:tc>
          <w:tcPr>
            <w:tcW w:w="76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3.02</w:t>
            </w:r>
          </w:p>
        </w:tc>
        <w:tc>
          <w:tcPr>
            <w:tcW w:w="867"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64.8</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Bhutan</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107</w:t>
            </w:r>
          </w:p>
        </w:tc>
        <w:tc>
          <w:tcPr>
            <w:tcW w:w="60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2.52</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48.6</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p>
        </w:tc>
        <w:tc>
          <w:tcPr>
            <w:tcW w:w="561"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p>
        </w:tc>
        <w:tc>
          <w:tcPr>
            <w:tcW w:w="791"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p>
        </w:tc>
        <w:tc>
          <w:tcPr>
            <w:tcW w:w="856"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p>
        </w:tc>
      </w:tr>
      <w:tr w:rsidR="00516EC8" w:rsidRPr="002F4991" w:rsidTr="00516EC8">
        <w:trPr>
          <w:trHeight w:val="240"/>
        </w:trPr>
        <w:tc>
          <w:tcPr>
            <w:tcW w:w="1082"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Vietnam</w:t>
            </w:r>
          </w:p>
        </w:tc>
        <w:tc>
          <w:tcPr>
            <w:tcW w:w="561"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53</w:t>
            </w:r>
          </w:p>
        </w:tc>
        <w:tc>
          <w:tcPr>
            <w:tcW w:w="766"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3.00</w:t>
            </w:r>
          </w:p>
        </w:tc>
        <w:tc>
          <w:tcPr>
            <w:tcW w:w="867"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64.1</w:t>
            </w:r>
          </w:p>
        </w:tc>
        <w:tc>
          <w:tcPr>
            <w:tcW w:w="222"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Ghana</w:t>
            </w:r>
          </w:p>
        </w:tc>
        <w:tc>
          <w:tcPr>
            <w:tcW w:w="561"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108</w:t>
            </w:r>
          </w:p>
        </w:tc>
        <w:tc>
          <w:tcPr>
            <w:tcW w:w="606"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2.51</w:t>
            </w:r>
          </w:p>
        </w:tc>
        <w:tc>
          <w:tcPr>
            <w:tcW w:w="856"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48.2</w:t>
            </w:r>
          </w:p>
        </w:tc>
        <w:tc>
          <w:tcPr>
            <w:tcW w:w="222"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p>
        </w:tc>
        <w:tc>
          <w:tcPr>
            <w:tcW w:w="561"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p>
        </w:tc>
        <w:tc>
          <w:tcPr>
            <w:tcW w:w="791"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p>
        </w:tc>
        <w:tc>
          <w:tcPr>
            <w:tcW w:w="856"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p>
        </w:tc>
      </w:tr>
      <w:tr w:rsidR="00516EC8" w:rsidRPr="002F4991" w:rsidTr="00516EC8">
        <w:trPr>
          <w:trHeight w:val="240"/>
        </w:trPr>
        <w:tc>
          <w:tcPr>
            <w:tcW w:w="108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Romania</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54</w:t>
            </w:r>
          </w:p>
        </w:tc>
        <w:tc>
          <w:tcPr>
            <w:tcW w:w="76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3.00</w:t>
            </w:r>
          </w:p>
        </w:tc>
        <w:tc>
          <w:tcPr>
            <w:tcW w:w="867"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63.8</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Lao PDR</w:t>
            </w:r>
          </w:p>
        </w:tc>
        <w:tc>
          <w:tcPr>
            <w:tcW w:w="561"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109</w:t>
            </w:r>
          </w:p>
        </w:tc>
        <w:tc>
          <w:tcPr>
            <w:tcW w:w="60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2.50</w:t>
            </w:r>
          </w:p>
        </w:tc>
        <w:tc>
          <w:tcPr>
            <w:tcW w:w="856"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48.0</w:t>
            </w:r>
          </w:p>
        </w:tc>
        <w:tc>
          <w:tcPr>
            <w:tcW w:w="222" w:type="dxa"/>
            <w:tcBorders>
              <w:top w:val="nil"/>
              <w:left w:val="nil"/>
              <w:bottom w:val="nil"/>
              <w:right w:val="nil"/>
            </w:tcBorders>
            <w:shd w:val="clear" w:color="000000" w:fill="C0C0C0"/>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p>
        </w:tc>
        <w:tc>
          <w:tcPr>
            <w:tcW w:w="561"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p>
        </w:tc>
        <w:tc>
          <w:tcPr>
            <w:tcW w:w="791"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p>
        </w:tc>
        <w:tc>
          <w:tcPr>
            <w:tcW w:w="856"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p>
        </w:tc>
      </w:tr>
      <w:tr w:rsidR="00516EC8" w:rsidRPr="002F4991" w:rsidTr="00516EC8">
        <w:trPr>
          <w:trHeight w:val="151"/>
        </w:trPr>
        <w:tc>
          <w:tcPr>
            <w:tcW w:w="1082"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Bosnia and Herzegovina</w:t>
            </w:r>
          </w:p>
        </w:tc>
        <w:tc>
          <w:tcPr>
            <w:tcW w:w="561"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55</w:t>
            </w:r>
          </w:p>
        </w:tc>
        <w:tc>
          <w:tcPr>
            <w:tcW w:w="766"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2.99</w:t>
            </w:r>
          </w:p>
        </w:tc>
        <w:tc>
          <w:tcPr>
            <w:tcW w:w="867"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63.5</w:t>
            </w:r>
          </w:p>
        </w:tc>
        <w:tc>
          <w:tcPr>
            <w:tcW w:w="222"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p>
        </w:tc>
        <w:tc>
          <w:tcPr>
            <w:tcW w:w="1154"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Senegal</w:t>
            </w:r>
          </w:p>
        </w:tc>
        <w:tc>
          <w:tcPr>
            <w:tcW w:w="561"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110</w:t>
            </w:r>
          </w:p>
        </w:tc>
        <w:tc>
          <w:tcPr>
            <w:tcW w:w="606"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2.49</w:t>
            </w:r>
          </w:p>
        </w:tc>
        <w:tc>
          <w:tcPr>
            <w:tcW w:w="856"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r w:rsidRPr="002F4991">
              <w:rPr>
                <w:rFonts w:ascii="Arial Narrow" w:hAnsi="Arial Narrow"/>
                <w:sz w:val="18"/>
                <w:szCs w:val="18"/>
              </w:rPr>
              <w:t>47.7</w:t>
            </w:r>
          </w:p>
        </w:tc>
        <w:tc>
          <w:tcPr>
            <w:tcW w:w="222"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p>
        </w:tc>
        <w:tc>
          <w:tcPr>
            <w:tcW w:w="1125"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p>
        </w:tc>
        <w:tc>
          <w:tcPr>
            <w:tcW w:w="561"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p>
        </w:tc>
        <w:tc>
          <w:tcPr>
            <w:tcW w:w="791"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p>
        </w:tc>
        <w:tc>
          <w:tcPr>
            <w:tcW w:w="856" w:type="dxa"/>
            <w:tcBorders>
              <w:top w:val="nil"/>
              <w:left w:val="nil"/>
              <w:bottom w:val="nil"/>
              <w:right w:val="nil"/>
            </w:tcBorders>
            <w:shd w:val="clear" w:color="auto" w:fill="FFFFFF" w:themeFill="background1"/>
            <w:vAlign w:val="center"/>
            <w:hideMark/>
          </w:tcPr>
          <w:p w:rsidR="00516EC8" w:rsidRPr="002F4991" w:rsidRDefault="00516EC8" w:rsidP="00516EC8">
            <w:pPr>
              <w:rPr>
                <w:rFonts w:ascii="Arial Narrow" w:hAnsi="Arial Narrow"/>
                <w:sz w:val="18"/>
                <w:szCs w:val="18"/>
              </w:rPr>
            </w:pPr>
          </w:p>
        </w:tc>
      </w:tr>
    </w:tbl>
    <w:p w:rsidR="00516EC8" w:rsidRDefault="00516EC8" w:rsidP="0000598B">
      <w:pPr>
        <w:jc w:val="center"/>
        <w:rPr>
          <w:sz w:val="22"/>
          <w:szCs w:val="22"/>
        </w:rPr>
      </w:pPr>
    </w:p>
    <w:p w:rsidR="00516EC8" w:rsidRDefault="00516EC8" w:rsidP="0000598B">
      <w:pPr>
        <w:jc w:val="center"/>
        <w:rPr>
          <w:sz w:val="22"/>
          <w:szCs w:val="22"/>
        </w:rPr>
      </w:pPr>
    </w:p>
    <w:p w:rsidR="00516EC8" w:rsidRDefault="00516EC8" w:rsidP="0000598B">
      <w:pPr>
        <w:jc w:val="center"/>
        <w:rPr>
          <w:sz w:val="22"/>
          <w:szCs w:val="22"/>
        </w:rPr>
      </w:pPr>
    </w:p>
    <w:p w:rsidR="00516EC8" w:rsidRDefault="00516EC8" w:rsidP="0000598B">
      <w:pPr>
        <w:jc w:val="center"/>
        <w:rPr>
          <w:sz w:val="22"/>
          <w:szCs w:val="22"/>
        </w:rPr>
      </w:pPr>
    </w:p>
    <w:p w:rsidR="007558AD" w:rsidRDefault="007558AD" w:rsidP="00310BCE">
      <w:pPr>
        <w:rPr>
          <w:sz w:val="22"/>
          <w:szCs w:val="22"/>
        </w:rPr>
      </w:pPr>
    </w:p>
    <w:p w:rsidR="00516EC8" w:rsidRPr="007558AD" w:rsidRDefault="00310BCE" w:rsidP="00310BCE">
      <w:pPr>
        <w:rPr>
          <w:i/>
          <w:sz w:val="22"/>
          <w:szCs w:val="22"/>
        </w:rPr>
      </w:pPr>
      <w:r w:rsidRPr="007558AD">
        <w:rPr>
          <w:i/>
          <w:sz w:val="22"/>
          <w:szCs w:val="22"/>
        </w:rPr>
        <w:t>*</w:t>
      </w:r>
      <w:r w:rsidR="00767D5D" w:rsidRPr="007558AD">
        <w:rPr>
          <w:i/>
          <w:sz w:val="22"/>
          <w:szCs w:val="22"/>
        </w:rPr>
        <w:t>Scores are provided on a 1 (worst) to 5 (best possible)</w:t>
      </w:r>
      <w:r w:rsidRPr="007558AD">
        <w:rPr>
          <w:i/>
          <w:sz w:val="22"/>
          <w:szCs w:val="22"/>
        </w:rPr>
        <w:t xml:space="preserve"> scale of performance</w:t>
      </w:r>
      <w:r w:rsidR="00767D5D" w:rsidRPr="007558AD">
        <w:rPr>
          <w:i/>
          <w:sz w:val="22"/>
          <w:szCs w:val="22"/>
        </w:rPr>
        <w:t>.</w:t>
      </w:r>
    </w:p>
    <w:p w:rsidR="00767D5D" w:rsidRPr="007558AD" w:rsidRDefault="00767D5D" w:rsidP="00516EC8">
      <w:pPr>
        <w:rPr>
          <w:i/>
          <w:sz w:val="22"/>
          <w:szCs w:val="22"/>
        </w:rPr>
      </w:pPr>
      <w:r w:rsidRPr="007558AD">
        <w:rPr>
          <w:i/>
          <w:sz w:val="22"/>
          <w:szCs w:val="22"/>
        </w:rPr>
        <w:t xml:space="preserve">The column “% of best performer” represents the relative LPI and is obtained by normalizing the LPI score. In this way, the best performer reaches the maximum score of 100% and the worst performer the minimum </w:t>
      </w:r>
      <w:r w:rsidR="00310BCE" w:rsidRPr="007558AD">
        <w:rPr>
          <w:i/>
          <w:sz w:val="22"/>
          <w:szCs w:val="22"/>
        </w:rPr>
        <w:t xml:space="preserve">of </w:t>
      </w:r>
      <w:r w:rsidRPr="007558AD">
        <w:rPr>
          <w:i/>
          <w:sz w:val="22"/>
          <w:szCs w:val="22"/>
        </w:rPr>
        <w:t>19.5%</w:t>
      </w:r>
    </w:p>
    <w:sectPr w:rsidR="00767D5D" w:rsidRPr="007558AD" w:rsidSect="004C7223">
      <w:pgSz w:w="12240" w:h="15840"/>
      <w:pgMar w:top="720" w:right="720" w:bottom="720" w:left="72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64D" w:rsidRDefault="00BE764D">
      <w:r>
        <w:separator/>
      </w:r>
    </w:p>
  </w:endnote>
  <w:endnote w:type="continuationSeparator" w:id="0">
    <w:p w:rsidR="00BE764D" w:rsidRDefault="00BE76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64D" w:rsidRDefault="00BE764D">
      <w:r>
        <w:separator/>
      </w:r>
    </w:p>
  </w:footnote>
  <w:footnote w:type="continuationSeparator" w:id="0">
    <w:p w:rsidR="00BE764D" w:rsidRDefault="00BE76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E65B8"/>
    <w:multiLevelType w:val="hybridMultilevel"/>
    <w:tmpl w:val="09FA3E7E"/>
    <w:lvl w:ilvl="0" w:tplc="BD5AA19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2F1318"/>
    <w:multiLevelType w:val="hybridMultilevel"/>
    <w:tmpl w:val="4C689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7A2B11"/>
    <w:multiLevelType w:val="hybridMultilevel"/>
    <w:tmpl w:val="E7F68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characterSpacingControl w:val="doNotCompress"/>
  <w:hdrShapeDefaults>
    <o:shapedefaults v:ext="edit" spidmax="21505">
      <o:colormenu v:ext="edit" fillcolor="black"/>
    </o:shapedefaults>
  </w:hdrShapeDefaults>
  <w:footnotePr>
    <w:footnote w:id="-1"/>
    <w:footnote w:id="0"/>
  </w:footnotePr>
  <w:endnotePr>
    <w:endnote w:id="-1"/>
    <w:endnote w:id="0"/>
  </w:endnotePr>
  <w:compat/>
  <w:rsids>
    <w:rsidRoot w:val="00BC347A"/>
    <w:rsid w:val="0000598B"/>
    <w:rsid w:val="00014263"/>
    <w:rsid w:val="00017718"/>
    <w:rsid w:val="00050C13"/>
    <w:rsid w:val="000577EA"/>
    <w:rsid w:val="0006653D"/>
    <w:rsid w:val="000915D9"/>
    <w:rsid w:val="00093C7F"/>
    <w:rsid w:val="000949A4"/>
    <w:rsid w:val="000A2215"/>
    <w:rsid w:val="000A4CBD"/>
    <w:rsid w:val="000B32E7"/>
    <w:rsid w:val="000B730D"/>
    <w:rsid w:val="000B74DE"/>
    <w:rsid w:val="000C0128"/>
    <w:rsid w:val="000C3041"/>
    <w:rsid w:val="000D2A2E"/>
    <w:rsid w:val="000D6926"/>
    <w:rsid w:val="000E1E7B"/>
    <w:rsid w:val="001024B7"/>
    <w:rsid w:val="00114E0D"/>
    <w:rsid w:val="00120B57"/>
    <w:rsid w:val="00125B7E"/>
    <w:rsid w:val="00126940"/>
    <w:rsid w:val="0013191E"/>
    <w:rsid w:val="00135F61"/>
    <w:rsid w:val="00141F2C"/>
    <w:rsid w:val="00154479"/>
    <w:rsid w:val="00163C54"/>
    <w:rsid w:val="00181431"/>
    <w:rsid w:val="00195142"/>
    <w:rsid w:val="001D427C"/>
    <w:rsid w:val="00200E6C"/>
    <w:rsid w:val="002053D0"/>
    <w:rsid w:val="00224EDB"/>
    <w:rsid w:val="00225735"/>
    <w:rsid w:val="002411A2"/>
    <w:rsid w:val="00245C92"/>
    <w:rsid w:val="002615C0"/>
    <w:rsid w:val="002709B3"/>
    <w:rsid w:val="00277320"/>
    <w:rsid w:val="002851DC"/>
    <w:rsid w:val="00286358"/>
    <w:rsid w:val="002936A4"/>
    <w:rsid w:val="002D2806"/>
    <w:rsid w:val="002D5E27"/>
    <w:rsid w:val="003003C1"/>
    <w:rsid w:val="00310BCE"/>
    <w:rsid w:val="003137D9"/>
    <w:rsid w:val="00317664"/>
    <w:rsid w:val="00331359"/>
    <w:rsid w:val="003514D8"/>
    <w:rsid w:val="0035230B"/>
    <w:rsid w:val="00360098"/>
    <w:rsid w:val="00383D15"/>
    <w:rsid w:val="003918FF"/>
    <w:rsid w:val="003B1583"/>
    <w:rsid w:val="003C5426"/>
    <w:rsid w:val="003C5BCF"/>
    <w:rsid w:val="00401CFF"/>
    <w:rsid w:val="00407247"/>
    <w:rsid w:val="0041466A"/>
    <w:rsid w:val="0042421A"/>
    <w:rsid w:val="0044543E"/>
    <w:rsid w:val="004455B3"/>
    <w:rsid w:val="00481428"/>
    <w:rsid w:val="004851A7"/>
    <w:rsid w:val="004A46E1"/>
    <w:rsid w:val="004B3117"/>
    <w:rsid w:val="004C5B83"/>
    <w:rsid w:val="004C720F"/>
    <w:rsid w:val="004C7223"/>
    <w:rsid w:val="004D79FE"/>
    <w:rsid w:val="004E29F3"/>
    <w:rsid w:val="004E5310"/>
    <w:rsid w:val="004F4355"/>
    <w:rsid w:val="004F4E31"/>
    <w:rsid w:val="005138EA"/>
    <w:rsid w:val="00514209"/>
    <w:rsid w:val="00515B5D"/>
    <w:rsid w:val="00516A9C"/>
    <w:rsid w:val="00516EC8"/>
    <w:rsid w:val="005576C3"/>
    <w:rsid w:val="00582353"/>
    <w:rsid w:val="005912C3"/>
    <w:rsid w:val="005946CE"/>
    <w:rsid w:val="005A0C43"/>
    <w:rsid w:val="005A2246"/>
    <w:rsid w:val="005A5525"/>
    <w:rsid w:val="005B0006"/>
    <w:rsid w:val="005B23AE"/>
    <w:rsid w:val="005B551F"/>
    <w:rsid w:val="005B5846"/>
    <w:rsid w:val="005B67BA"/>
    <w:rsid w:val="005F23B1"/>
    <w:rsid w:val="005F494E"/>
    <w:rsid w:val="005F6A4A"/>
    <w:rsid w:val="006132B4"/>
    <w:rsid w:val="006237A6"/>
    <w:rsid w:val="00637891"/>
    <w:rsid w:val="006529C8"/>
    <w:rsid w:val="00657D6F"/>
    <w:rsid w:val="006836B2"/>
    <w:rsid w:val="00696B5F"/>
    <w:rsid w:val="006B3D0F"/>
    <w:rsid w:val="006C16D2"/>
    <w:rsid w:val="006C2A8E"/>
    <w:rsid w:val="006E7C0F"/>
    <w:rsid w:val="006F6D56"/>
    <w:rsid w:val="00701B17"/>
    <w:rsid w:val="00715525"/>
    <w:rsid w:val="007558AD"/>
    <w:rsid w:val="00767D5D"/>
    <w:rsid w:val="00774D92"/>
    <w:rsid w:val="007761B3"/>
    <w:rsid w:val="0078161C"/>
    <w:rsid w:val="00784BDD"/>
    <w:rsid w:val="007A346D"/>
    <w:rsid w:val="007C5B4B"/>
    <w:rsid w:val="007D731E"/>
    <w:rsid w:val="007E11FB"/>
    <w:rsid w:val="007E1891"/>
    <w:rsid w:val="007F1C98"/>
    <w:rsid w:val="00806269"/>
    <w:rsid w:val="0083709C"/>
    <w:rsid w:val="00844916"/>
    <w:rsid w:val="00845EC0"/>
    <w:rsid w:val="008575D0"/>
    <w:rsid w:val="00865816"/>
    <w:rsid w:val="008665D7"/>
    <w:rsid w:val="00873D32"/>
    <w:rsid w:val="00890B5D"/>
    <w:rsid w:val="008A1342"/>
    <w:rsid w:val="008B5CD7"/>
    <w:rsid w:val="008C1D6E"/>
    <w:rsid w:val="008D36DE"/>
    <w:rsid w:val="008D7A5C"/>
    <w:rsid w:val="008F1716"/>
    <w:rsid w:val="008F657A"/>
    <w:rsid w:val="0092730A"/>
    <w:rsid w:val="00937330"/>
    <w:rsid w:val="009560E0"/>
    <w:rsid w:val="00961464"/>
    <w:rsid w:val="00967B1D"/>
    <w:rsid w:val="009A3657"/>
    <w:rsid w:val="009A577F"/>
    <w:rsid w:val="009A7113"/>
    <w:rsid w:val="009B7D51"/>
    <w:rsid w:val="009D1EF6"/>
    <w:rsid w:val="009F2086"/>
    <w:rsid w:val="00A35011"/>
    <w:rsid w:val="00A36724"/>
    <w:rsid w:val="00A70880"/>
    <w:rsid w:val="00AE01F9"/>
    <w:rsid w:val="00AE35EA"/>
    <w:rsid w:val="00AF0FB9"/>
    <w:rsid w:val="00AF691C"/>
    <w:rsid w:val="00B00061"/>
    <w:rsid w:val="00B4786E"/>
    <w:rsid w:val="00B648FF"/>
    <w:rsid w:val="00BB39D9"/>
    <w:rsid w:val="00BB7BD3"/>
    <w:rsid w:val="00BC347A"/>
    <w:rsid w:val="00BE764D"/>
    <w:rsid w:val="00BF77FC"/>
    <w:rsid w:val="00C00587"/>
    <w:rsid w:val="00C0350B"/>
    <w:rsid w:val="00C0503B"/>
    <w:rsid w:val="00C42DE2"/>
    <w:rsid w:val="00C45D69"/>
    <w:rsid w:val="00C53B9A"/>
    <w:rsid w:val="00C53DB9"/>
    <w:rsid w:val="00C5711D"/>
    <w:rsid w:val="00C648E2"/>
    <w:rsid w:val="00C80DDB"/>
    <w:rsid w:val="00C8110A"/>
    <w:rsid w:val="00C81AAF"/>
    <w:rsid w:val="00C92B35"/>
    <w:rsid w:val="00CB18A7"/>
    <w:rsid w:val="00CB39A0"/>
    <w:rsid w:val="00CC65C0"/>
    <w:rsid w:val="00CF34A1"/>
    <w:rsid w:val="00D0300A"/>
    <w:rsid w:val="00D04C29"/>
    <w:rsid w:val="00D10F49"/>
    <w:rsid w:val="00D11EB1"/>
    <w:rsid w:val="00D31433"/>
    <w:rsid w:val="00D3347C"/>
    <w:rsid w:val="00D47B15"/>
    <w:rsid w:val="00D62CAC"/>
    <w:rsid w:val="00D70DAD"/>
    <w:rsid w:val="00D725E9"/>
    <w:rsid w:val="00D75B35"/>
    <w:rsid w:val="00D817B7"/>
    <w:rsid w:val="00D841C0"/>
    <w:rsid w:val="00D86B8D"/>
    <w:rsid w:val="00DA7904"/>
    <w:rsid w:val="00DC3FE7"/>
    <w:rsid w:val="00DE2F49"/>
    <w:rsid w:val="00DE7FDD"/>
    <w:rsid w:val="00DF28A3"/>
    <w:rsid w:val="00E04ADA"/>
    <w:rsid w:val="00E24571"/>
    <w:rsid w:val="00E47A2E"/>
    <w:rsid w:val="00E5527E"/>
    <w:rsid w:val="00E5589E"/>
    <w:rsid w:val="00E5593C"/>
    <w:rsid w:val="00E6206D"/>
    <w:rsid w:val="00E624E8"/>
    <w:rsid w:val="00E82BBB"/>
    <w:rsid w:val="00EC07EA"/>
    <w:rsid w:val="00EC2FBC"/>
    <w:rsid w:val="00EE41AE"/>
    <w:rsid w:val="00EE4D84"/>
    <w:rsid w:val="00EF5ACE"/>
    <w:rsid w:val="00F05CC0"/>
    <w:rsid w:val="00F2339A"/>
    <w:rsid w:val="00F23688"/>
    <w:rsid w:val="00F31D71"/>
    <w:rsid w:val="00F40717"/>
    <w:rsid w:val="00F554C6"/>
    <w:rsid w:val="00F752CA"/>
    <w:rsid w:val="00F76F87"/>
    <w:rsid w:val="00F952F9"/>
    <w:rsid w:val="00FA1C24"/>
    <w:rsid w:val="00FB77D6"/>
    <w:rsid w:val="00FD0673"/>
    <w:rsid w:val="00FD424D"/>
    <w:rsid w:val="00FE0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A9C"/>
    <w:rPr>
      <w:sz w:val="24"/>
      <w:szCs w:val="24"/>
    </w:rPr>
  </w:style>
  <w:style w:type="paragraph" w:styleId="Heading1">
    <w:name w:val="heading 1"/>
    <w:basedOn w:val="Normal"/>
    <w:next w:val="Normal"/>
    <w:link w:val="Heading1Char"/>
    <w:qFormat/>
    <w:rsid w:val="00516E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6237A6"/>
    <w:pPr>
      <w:keepNext/>
      <w:spacing w:before="240" w:after="60"/>
      <w:outlineLvl w:val="1"/>
    </w:pPr>
    <w:rPr>
      <w:rFonts w:ascii="Arial" w:hAnsi="Arial" w:cs="Arial"/>
      <w:b/>
      <w:bCs/>
      <w:i/>
      <w:iCs/>
      <w:sz w:val="28"/>
      <w:szCs w:val="28"/>
    </w:rPr>
  </w:style>
  <w:style w:type="paragraph" w:styleId="Heading7">
    <w:name w:val="heading 7"/>
    <w:basedOn w:val="Normal"/>
    <w:qFormat/>
    <w:rsid w:val="00701B17"/>
    <w:pPr>
      <w:spacing w:before="100" w:beforeAutospacing="1" w:after="100" w:afterAutospacing="1"/>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653D"/>
    <w:rPr>
      <w:color w:val="0000FF"/>
      <w:u w:val="single"/>
    </w:rPr>
  </w:style>
  <w:style w:type="paragraph" w:styleId="Header">
    <w:name w:val="header"/>
    <w:basedOn w:val="Normal"/>
    <w:link w:val="HeaderChar"/>
    <w:uiPriority w:val="99"/>
    <w:rsid w:val="00E5593C"/>
    <w:pPr>
      <w:tabs>
        <w:tab w:val="center" w:pos="4320"/>
        <w:tab w:val="right" w:pos="8640"/>
      </w:tabs>
    </w:pPr>
  </w:style>
  <w:style w:type="paragraph" w:styleId="Footer">
    <w:name w:val="footer"/>
    <w:basedOn w:val="Normal"/>
    <w:rsid w:val="00E5593C"/>
    <w:pPr>
      <w:tabs>
        <w:tab w:val="center" w:pos="4320"/>
        <w:tab w:val="right" w:pos="8640"/>
      </w:tabs>
    </w:pPr>
  </w:style>
  <w:style w:type="paragraph" w:styleId="BalloonText">
    <w:name w:val="Balloon Text"/>
    <w:basedOn w:val="Normal"/>
    <w:link w:val="BalloonTextChar"/>
    <w:rsid w:val="00114E0D"/>
    <w:rPr>
      <w:rFonts w:ascii="Tahoma" w:hAnsi="Tahoma" w:cs="Tahoma"/>
      <w:sz w:val="16"/>
      <w:szCs w:val="16"/>
    </w:rPr>
  </w:style>
  <w:style w:type="character" w:customStyle="1" w:styleId="BalloonTextChar">
    <w:name w:val="Balloon Text Char"/>
    <w:basedOn w:val="DefaultParagraphFont"/>
    <w:link w:val="BalloonText"/>
    <w:rsid w:val="00114E0D"/>
    <w:rPr>
      <w:rFonts w:ascii="Tahoma" w:hAnsi="Tahoma" w:cs="Tahoma"/>
      <w:sz w:val="16"/>
      <w:szCs w:val="16"/>
    </w:rPr>
  </w:style>
  <w:style w:type="character" w:customStyle="1" w:styleId="HeaderChar">
    <w:name w:val="Header Char"/>
    <w:basedOn w:val="DefaultParagraphFont"/>
    <w:link w:val="Header"/>
    <w:uiPriority w:val="99"/>
    <w:rsid w:val="0044543E"/>
    <w:rPr>
      <w:sz w:val="24"/>
      <w:szCs w:val="24"/>
    </w:rPr>
  </w:style>
  <w:style w:type="character" w:styleId="Emphasis">
    <w:name w:val="Emphasis"/>
    <w:basedOn w:val="DefaultParagraphFont"/>
    <w:qFormat/>
    <w:rsid w:val="00937330"/>
    <w:rPr>
      <w:i/>
      <w:iCs/>
    </w:rPr>
  </w:style>
  <w:style w:type="character" w:styleId="CommentReference">
    <w:name w:val="annotation reference"/>
    <w:basedOn w:val="DefaultParagraphFont"/>
    <w:rsid w:val="005F6A4A"/>
    <w:rPr>
      <w:sz w:val="16"/>
      <w:szCs w:val="16"/>
    </w:rPr>
  </w:style>
  <w:style w:type="paragraph" w:styleId="CommentText">
    <w:name w:val="annotation text"/>
    <w:basedOn w:val="Normal"/>
    <w:link w:val="CommentTextChar"/>
    <w:rsid w:val="005F6A4A"/>
    <w:rPr>
      <w:sz w:val="20"/>
      <w:szCs w:val="20"/>
    </w:rPr>
  </w:style>
  <w:style w:type="character" w:customStyle="1" w:styleId="CommentTextChar">
    <w:name w:val="Comment Text Char"/>
    <w:basedOn w:val="DefaultParagraphFont"/>
    <w:link w:val="CommentText"/>
    <w:rsid w:val="005F6A4A"/>
  </w:style>
  <w:style w:type="paragraph" w:styleId="CommentSubject">
    <w:name w:val="annotation subject"/>
    <w:basedOn w:val="CommentText"/>
    <w:next w:val="CommentText"/>
    <w:link w:val="CommentSubjectChar"/>
    <w:rsid w:val="005F6A4A"/>
    <w:rPr>
      <w:b/>
      <w:bCs/>
    </w:rPr>
  </w:style>
  <w:style w:type="character" w:customStyle="1" w:styleId="CommentSubjectChar">
    <w:name w:val="Comment Subject Char"/>
    <w:basedOn w:val="CommentTextChar"/>
    <w:link w:val="CommentSubject"/>
    <w:rsid w:val="005F6A4A"/>
    <w:rPr>
      <w:b/>
      <w:bCs/>
    </w:rPr>
  </w:style>
  <w:style w:type="paragraph" w:styleId="Revision">
    <w:name w:val="Revision"/>
    <w:hidden/>
    <w:uiPriority w:val="99"/>
    <w:semiHidden/>
    <w:rsid w:val="005F6A4A"/>
    <w:rPr>
      <w:sz w:val="24"/>
      <w:szCs w:val="24"/>
    </w:rPr>
  </w:style>
  <w:style w:type="paragraph" w:styleId="EndnoteText">
    <w:name w:val="endnote text"/>
    <w:basedOn w:val="Normal"/>
    <w:link w:val="EndnoteTextChar"/>
    <w:rsid w:val="00AE01F9"/>
    <w:rPr>
      <w:sz w:val="20"/>
      <w:szCs w:val="20"/>
    </w:rPr>
  </w:style>
  <w:style w:type="character" w:customStyle="1" w:styleId="EndnoteTextChar">
    <w:name w:val="Endnote Text Char"/>
    <w:basedOn w:val="DefaultParagraphFont"/>
    <w:link w:val="EndnoteText"/>
    <w:rsid w:val="00AE01F9"/>
  </w:style>
  <w:style w:type="character" w:styleId="EndnoteReference">
    <w:name w:val="endnote reference"/>
    <w:basedOn w:val="DefaultParagraphFont"/>
    <w:rsid w:val="00AE01F9"/>
    <w:rPr>
      <w:vertAlign w:val="superscript"/>
    </w:rPr>
  </w:style>
  <w:style w:type="paragraph" w:styleId="FootnoteText">
    <w:name w:val="footnote text"/>
    <w:basedOn w:val="Normal"/>
    <w:link w:val="FootnoteTextChar"/>
    <w:rsid w:val="00AE01F9"/>
    <w:rPr>
      <w:sz w:val="20"/>
      <w:szCs w:val="20"/>
    </w:rPr>
  </w:style>
  <w:style w:type="character" w:customStyle="1" w:styleId="FootnoteTextChar">
    <w:name w:val="Footnote Text Char"/>
    <w:basedOn w:val="DefaultParagraphFont"/>
    <w:link w:val="FootnoteText"/>
    <w:rsid w:val="00AE01F9"/>
  </w:style>
  <w:style w:type="character" w:styleId="FootnoteReference">
    <w:name w:val="footnote reference"/>
    <w:basedOn w:val="DefaultParagraphFont"/>
    <w:rsid w:val="00AE01F9"/>
    <w:rPr>
      <w:vertAlign w:val="superscript"/>
    </w:rPr>
  </w:style>
  <w:style w:type="paragraph" w:styleId="ListParagraph">
    <w:name w:val="List Paragraph"/>
    <w:basedOn w:val="Normal"/>
    <w:uiPriority w:val="34"/>
    <w:qFormat/>
    <w:rsid w:val="0000598B"/>
    <w:pPr>
      <w:ind w:left="720"/>
      <w:contextualSpacing/>
    </w:pPr>
  </w:style>
  <w:style w:type="character" w:customStyle="1" w:styleId="Heading1Char">
    <w:name w:val="Heading 1 Char"/>
    <w:basedOn w:val="DefaultParagraphFont"/>
    <w:link w:val="Heading1"/>
    <w:rsid w:val="00516EC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784BD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orldbank.org/tr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a.worldbank.org/secure/lpi20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heikh1@worldban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jelenic@worldbank.org" TargetMode="External"/><Relationship Id="rId4" Type="http://schemas.openxmlformats.org/officeDocument/2006/relationships/settings" Target="settings.xml"/><Relationship Id="rId9" Type="http://schemas.openxmlformats.org/officeDocument/2006/relationships/hyperlink" Target="mailto:Aviveros@worldban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B12D7-4978-4F1E-9BAE-81FB3C032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1712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11337</CharactersWithSpaces>
  <SharedDoc>false</SharedDoc>
  <HLinks>
    <vt:vector size="18" baseType="variant">
      <vt:variant>
        <vt:i4>4718595</vt:i4>
      </vt:variant>
      <vt:variant>
        <vt:i4>9</vt:i4>
      </vt:variant>
      <vt:variant>
        <vt:i4>0</vt:i4>
      </vt:variant>
      <vt:variant>
        <vt:i4>5</vt:i4>
      </vt:variant>
      <vt:variant>
        <vt:lpwstr>http://www.worldbank.org/</vt:lpwstr>
      </vt:variant>
      <vt:variant>
        <vt:lpwstr/>
      </vt:variant>
      <vt:variant>
        <vt:i4>1835062</vt:i4>
      </vt:variant>
      <vt:variant>
        <vt:i4>3</vt:i4>
      </vt:variant>
      <vt:variant>
        <vt:i4>0</vt:i4>
      </vt:variant>
      <vt:variant>
        <vt:i4>5</vt:i4>
      </vt:variant>
      <vt:variant>
        <vt:lpwstr>mailto:person@worldbank.org</vt:lpwstr>
      </vt:variant>
      <vt:variant>
        <vt:lpwstr/>
      </vt:variant>
      <vt:variant>
        <vt:i4>1835062</vt:i4>
      </vt:variant>
      <vt:variant>
        <vt:i4>0</vt:i4>
      </vt:variant>
      <vt:variant>
        <vt:i4>0</vt:i4>
      </vt:variant>
      <vt:variant>
        <vt:i4>5</vt:i4>
      </vt:variant>
      <vt:variant>
        <vt:lpwstr>mailto:person@worldbank.org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wb263062</dc:creator>
  <cp:lastModifiedBy>wb366573</cp:lastModifiedBy>
  <cp:revision>3</cp:revision>
  <cp:lastPrinted>2010-01-12T20:24:00Z</cp:lastPrinted>
  <dcterms:created xsi:type="dcterms:W3CDTF">2012-05-16T13:31:00Z</dcterms:created>
  <dcterms:modified xsi:type="dcterms:W3CDTF">2012-05-16T13:31:00Z</dcterms:modified>
</cp:coreProperties>
</file>